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613B2" w14:textId="0F09AB0C" w:rsidR="00E042C3" w:rsidRDefault="00E042C3" w:rsidP="00E042C3">
      <w:pPr>
        <w:pStyle w:val="NoSpacing"/>
        <w:jc w:val="center"/>
        <w:rPr>
          <w:rFonts w:ascii="Century Gothic" w:hAnsi="Century Gothic" w:cs="Arial"/>
        </w:rPr>
      </w:pPr>
      <w:bookmarkStart w:id="0" w:name="_Hlk71190538"/>
      <w:r>
        <w:rPr>
          <w:rFonts w:ascii="Century Gothic" w:hAnsi="Century Gothic" w:cs="Arial"/>
        </w:rPr>
        <w:t>Coronavirus Response and Relief Supplemental Appropriations Act of 2021</w:t>
      </w:r>
    </w:p>
    <w:bookmarkEnd w:id="0"/>
    <w:p w14:paraId="3122D739" w14:textId="0681FFCA" w:rsidR="00E042C3" w:rsidRDefault="00E042C3" w:rsidP="00E042C3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042C3">
        <w:rPr>
          <w:rFonts w:ascii="Century Gothic" w:hAnsi="Century Gothic" w:cs="Arial"/>
          <w:b/>
          <w:bCs/>
          <w:sz w:val="32"/>
          <w:szCs w:val="32"/>
          <w:u w:val="single"/>
        </w:rPr>
        <w:t>“</w:t>
      </w:r>
      <w:r w:rsidRPr="00F221E2">
        <w:rPr>
          <w:rFonts w:ascii="Century Gothic" w:hAnsi="Century Gothic" w:cs="Arial"/>
          <w:b/>
          <w:bCs/>
          <w:sz w:val="32"/>
          <w:szCs w:val="32"/>
          <w:u w:val="single"/>
        </w:rPr>
        <w:t>CRRSAA Program”</w:t>
      </w:r>
      <w:r w:rsidRPr="00F221E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BD6B1E" w:rsidRPr="00F221E2">
        <w:rPr>
          <w:rFonts w:ascii="Arial" w:hAnsi="Arial" w:cs="Arial"/>
          <w:b/>
          <w:bCs/>
          <w:sz w:val="32"/>
          <w:szCs w:val="32"/>
          <w:u w:val="single"/>
        </w:rPr>
        <w:t>&amp; STIP Augmentation</w:t>
      </w:r>
    </w:p>
    <w:p w14:paraId="7BED9A0D" w14:textId="77777777" w:rsidR="00E042C3" w:rsidRPr="00E042C3" w:rsidRDefault="00E042C3" w:rsidP="00E042C3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00FC3DA" w14:textId="48918AE9" w:rsidR="00E042C3" w:rsidRPr="00F221E2" w:rsidRDefault="00E042C3" w:rsidP="00E042C3">
      <w:pPr>
        <w:pStyle w:val="NoSpacing"/>
        <w:jc w:val="center"/>
        <w:rPr>
          <w:rFonts w:ascii="Arial" w:hAnsi="Arial" w:cs="Arial"/>
          <w:bCs/>
          <w:sz w:val="32"/>
          <w:szCs w:val="32"/>
        </w:rPr>
      </w:pPr>
      <w:r w:rsidRPr="00F221E2">
        <w:rPr>
          <w:rFonts w:ascii="Arial" w:hAnsi="Arial" w:cs="Arial"/>
          <w:bCs/>
          <w:sz w:val="32"/>
          <w:szCs w:val="32"/>
        </w:rPr>
        <w:t xml:space="preserve">DLA - Policies and Procedures </w:t>
      </w:r>
    </w:p>
    <w:p w14:paraId="5A81DB48" w14:textId="443EAF57" w:rsidR="00E042C3" w:rsidRDefault="00E042C3" w:rsidP="00E042C3">
      <w:pPr>
        <w:rPr>
          <w:rFonts w:ascii="Century Gothic" w:hAnsi="Century Gothic" w:cs="Arial"/>
          <w:sz w:val="24"/>
          <w:szCs w:val="24"/>
        </w:rPr>
      </w:pPr>
    </w:p>
    <w:p w14:paraId="33D976F8" w14:textId="6B69BA3E" w:rsidR="00BD6B1E" w:rsidRPr="002B5523" w:rsidRDefault="00BD6B1E" w:rsidP="00E042C3">
      <w:pPr>
        <w:rPr>
          <w:rFonts w:ascii="Century Gothic" w:hAnsi="Century Gothic" w:cs="Arial"/>
          <w:b/>
          <w:bCs/>
          <w:sz w:val="28"/>
          <w:szCs w:val="28"/>
          <w:u w:val="single"/>
        </w:rPr>
      </w:pPr>
      <w:bookmarkStart w:id="1" w:name="_Hlk71795177"/>
      <w:r w:rsidRPr="002B5523">
        <w:rPr>
          <w:rFonts w:ascii="Century Gothic" w:hAnsi="Century Gothic" w:cs="Arial"/>
          <w:b/>
          <w:bCs/>
          <w:sz w:val="28"/>
          <w:szCs w:val="28"/>
          <w:u w:val="single"/>
        </w:rPr>
        <w:t>CRRSAA P</w:t>
      </w:r>
      <w:r w:rsidR="003834EB" w:rsidRPr="002B5523">
        <w:rPr>
          <w:rFonts w:ascii="Century Gothic" w:hAnsi="Century Gothic" w:cs="Arial"/>
          <w:b/>
          <w:bCs/>
          <w:sz w:val="28"/>
          <w:szCs w:val="28"/>
          <w:u w:val="single"/>
        </w:rPr>
        <w:t>ROGRAM</w:t>
      </w:r>
    </w:p>
    <w:bookmarkEnd w:id="1"/>
    <w:p w14:paraId="41B6CE8D" w14:textId="77777777" w:rsidR="00713173" w:rsidRPr="002B5523" w:rsidRDefault="00713173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14:paraId="4F2FF052" w14:textId="054325D1" w:rsidR="007503ED" w:rsidRPr="002B5523" w:rsidRDefault="00713173" w:rsidP="007503ED">
      <w:pPr>
        <w:rPr>
          <w:rFonts w:ascii="Century Gothic" w:hAnsi="Century Gothic" w:cs="Arial"/>
          <w:sz w:val="24"/>
          <w:szCs w:val="24"/>
        </w:rPr>
      </w:pPr>
      <w:r w:rsidRPr="002B5523">
        <w:rPr>
          <w:rFonts w:ascii="Century Gothic" w:hAnsi="Century Gothic" w:cs="Arial"/>
          <w:sz w:val="24"/>
          <w:szCs w:val="24"/>
        </w:rPr>
        <w:t>The CRRSAA will make available $182,364,599.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  </w:t>
      </w:r>
      <w:r w:rsidR="007503ED" w:rsidRPr="002B5523">
        <w:rPr>
          <w:rFonts w:ascii="Century Gothic" w:hAnsi="Century Gothic" w:cs="Arial"/>
          <w:sz w:val="24"/>
          <w:szCs w:val="24"/>
        </w:rPr>
        <w:t>The apportionment distribution for the CRRSAA Program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, </w:t>
      </w:r>
      <w:r w:rsidR="007503ED" w:rsidRPr="002B5523">
        <w:rPr>
          <w:rFonts w:ascii="Century Gothic" w:hAnsi="Century Gothic" w:cs="Arial"/>
          <w:sz w:val="24"/>
          <w:szCs w:val="24"/>
        </w:rPr>
        <w:t>approved on March 14, 2021 by the CTC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, </w:t>
      </w:r>
      <w:r w:rsidR="007503ED" w:rsidRPr="002B5523">
        <w:rPr>
          <w:rFonts w:ascii="Century Gothic" w:hAnsi="Century Gothic" w:cs="Arial"/>
          <w:sz w:val="24"/>
          <w:szCs w:val="24"/>
        </w:rPr>
        <w:t>is consistent with the formula distribution of the Surface Transportation Block Grant Program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; </w:t>
      </w:r>
      <w:r w:rsidR="007503ED" w:rsidRPr="002B5523">
        <w:rPr>
          <w:rFonts w:ascii="Century Gothic" w:hAnsi="Century Gothic" w:cs="Arial"/>
          <w:sz w:val="24"/>
          <w:szCs w:val="24"/>
        </w:rPr>
        <w:t>with a minimum guarantee of $200,000 for each county</w:t>
      </w:r>
      <w:r w:rsidR="0076499D" w:rsidRPr="002B5523">
        <w:rPr>
          <w:rFonts w:ascii="Century Gothic" w:hAnsi="Century Gothic" w:cs="Arial"/>
          <w:sz w:val="24"/>
          <w:szCs w:val="24"/>
        </w:rPr>
        <w:t xml:space="preserve"> per CTC Guidelines.  </w:t>
      </w:r>
      <w:r w:rsidR="007503ED" w:rsidRPr="002B5523">
        <w:rPr>
          <w:rFonts w:ascii="Century Gothic" w:hAnsi="Century Gothic" w:cs="Arial"/>
          <w:sz w:val="24"/>
          <w:szCs w:val="24"/>
        </w:rPr>
        <w:t>The C</w:t>
      </w:r>
      <w:r w:rsidR="00A2289B" w:rsidRPr="002B5523">
        <w:rPr>
          <w:rFonts w:ascii="Century Gothic" w:hAnsi="Century Gothic" w:cs="Arial"/>
          <w:sz w:val="24"/>
          <w:szCs w:val="24"/>
        </w:rPr>
        <w:t>TC Apportionments</w:t>
      </w:r>
      <w:r w:rsidR="007503ED" w:rsidRPr="002B5523">
        <w:rPr>
          <w:rFonts w:ascii="Century Gothic" w:hAnsi="Century Gothic" w:cs="Arial"/>
          <w:sz w:val="24"/>
          <w:szCs w:val="24"/>
        </w:rPr>
        <w:t xml:space="preserve"> and Caltrans’ </w:t>
      </w:r>
      <w:r w:rsidR="00A2289B" w:rsidRPr="002B5523">
        <w:rPr>
          <w:rFonts w:ascii="Century Gothic" w:hAnsi="Century Gothic" w:cs="Arial"/>
          <w:sz w:val="24"/>
          <w:szCs w:val="24"/>
        </w:rPr>
        <w:t>Sub-</w:t>
      </w:r>
      <w:r w:rsidR="007503ED" w:rsidRPr="002B5523">
        <w:rPr>
          <w:rFonts w:ascii="Century Gothic" w:hAnsi="Century Gothic" w:cs="Arial"/>
          <w:sz w:val="24"/>
          <w:szCs w:val="24"/>
        </w:rPr>
        <w:t>Apportionment Distributions are shown in Attachment A.</w:t>
      </w:r>
    </w:p>
    <w:p w14:paraId="303BBD06" w14:textId="77777777" w:rsidR="00713173" w:rsidRPr="002B5523" w:rsidRDefault="00713173" w:rsidP="00E042C3">
      <w:pPr>
        <w:rPr>
          <w:rFonts w:ascii="Century Gothic" w:hAnsi="Century Gothic" w:cs="Arial"/>
          <w:sz w:val="24"/>
          <w:szCs w:val="24"/>
        </w:rPr>
      </w:pPr>
    </w:p>
    <w:p w14:paraId="29681568" w14:textId="47D727BA" w:rsidR="00F221E2" w:rsidRPr="002B5523" w:rsidRDefault="00713173" w:rsidP="00E042C3">
      <w:pPr>
        <w:rPr>
          <w:rFonts w:ascii="Century Gothic" w:hAnsi="Century Gothic" w:cs="Arial"/>
          <w:sz w:val="24"/>
          <w:szCs w:val="24"/>
        </w:rPr>
      </w:pPr>
      <w:r w:rsidRPr="002B5523">
        <w:rPr>
          <w:rFonts w:ascii="Century Gothic" w:hAnsi="Century Gothic" w:cs="Arial"/>
          <w:sz w:val="24"/>
          <w:szCs w:val="24"/>
        </w:rPr>
        <w:t>For the successful implementation of your project, please note the following:</w:t>
      </w:r>
    </w:p>
    <w:p w14:paraId="39BA3706" w14:textId="77777777" w:rsidR="00145FAC" w:rsidRPr="002B5523" w:rsidRDefault="00145FAC" w:rsidP="00E042C3">
      <w:pPr>
        <w:rPr>
          <w:rFonts w:ascii="Century Gothic" w:hAnsi="Century Gothic" w:cs="Arial"/>
          <w:sz w:val="24"/>
          <w:szCs w:val="24"/>
          <w:u w:val="single"/>
        </w:rPr>
      </w:pPr>
    </w:p>
    <w:p w14:paraId="2DEB0673" w14:textId="3EFE3814" w:rsidR="00F221E2" w:rsidRPr="002B5523" w:rsidRDefault="00F221E2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2B5523">
        <w:rPr>
          <w:rFonts w:ascii="Century Gothic" w:hAnsi="Century Gothic" w:cs="Arial"/>
          <w:b/>
          <w:bCs/>
          <w:sz w:val="24"/>
          <w:szCs w:val="24"/>
          <w:u w:val="single"/>
        </w:rPr>
        <w:t>Eligible Project Types:</w:t>
      </w:r>
    </w:p>
    <w:p w14:paraId="66FEF12D" w14:textId="79DE0FEC" w:rsidR="00F221E2" w:rsidRPr="002B5523" w:rsidRDefault="00F221E2" w:rsidP="00F221E2">
      <w:pPr>
        <w:pStyle w:val="ListParagraph"/>
        <w:numPr>
          <w:ilvl w:val="0"/>
          <w:numId w:val="8"/>
        </w:numPr>
        <w:ind w:right="-360"/>
        <w:rPr>
          <w:rFonts w:ascii="Century Gothic" w:hAnsi="Century Gothic" w:cs="Arial"/>
        </w:rPr>
      </w:pPr>
      <w:bookmarkStart w:id="2" w:name="_Hlk71190601"/>
      <w:r w:rsidRPr="002B5523">
        <w:rPr>
          <w:rFonts w:ascii="Century Gothic" w:hAnsi="Century Gothic" w:cs="Arial"/>
        </w:rPr>
        <w:t>Projects that are eligible under the Surface Transportation Block Grant Program</w:t>
      </w:r>
      <w:r w:rsidR="00C13A0B" w:rsidRPr="002B5523">
        <w:rPr>
          <w:rFonts w:ascii="Century Gothic" w:hAnsi="Century Gothic" w:cs="Arial"/>
        </w:rPr>
        <w:t xml:space="preserve"> </w:t>
      </w:r>
      <w:r w:rsidR="00C13A0B" w:rsidRPr="002B5523">
        <w:rPr>
          <w:rFonts w:ascii="Century Gothic" w:hAnsi="Century Gothic" w:cs="Arial"/>
          <w:color w:val="000000" w:themeColor="text1"/>
        </w:rPr>
        <w:t>(</w:t>
      </w:r>
      <w:r w:rsidR="0066611C" w:rsidRPr="002B5523">
        <w:rPr>
          <w:rFonts w:ascii="Century Gothic" w:hAnsi="Century Gothic" w:cs="Arial"/>
          <w:color w:val="000000" w:themeColor="text1"/>
        </w:rPr>
        <w:t>n</w:t>
      </w:r>
      <w:r w:rsidR="00C13A0B" w:rsidRPr="002B5523">
        <w:rPr>
          <w:rFonts w:ascii="Century Gothic" w:hAnsi="Century Gothic" w:cs="Arial"/>
          <w:color w:val="000000" w:themeColor="text1"/>
        </w:rPr>
        <w:t xml:space="preserve">ew and </w:t>
      </w:r>
      <w:r w:rsidR="0066611C" w:rsidRPr="002B5523">
        <w:rPr>
          <w:rFonts w:ascii="Century Gothic" w:hAnsi="Century Gothic" w:cs="Arial"/>
          <w:color w:val="000000" w:themeColor="text1"/>
        </w:rPr>
        <w:t>e</w:t>
      </w:r>
      <w:r w:rsidR="00C13A0B" w:rsidRPr="002B5523">
        <w:rPr>
          <w:rFonts w:ascii="Century Gothic" w:hAnsi="Century Gothic" w:cs="Arial"/>
          <w:color w:val="000000" w:themeColor="text1"/>
        </w:rPr>
        <w:t>xisting)</w:t>
      </w:r>
    </w:p>
    <w:p w14:paraId="043083EE" w14:textId="57B820BB" w:rsidR="00F221E2" w:rsidRPr="00F221E2" w:rsidRDefault="00F221E2" w:rsidP="00F221E2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 w:rsidRPr="00F221E2">
        <w:rPr>
          <w:rFonts w:ascii="Century Gothic" w:hAnsi="Century Gothic" w:cs="Arial"/>
        </w:rPr>
        <w:t xml:space="preserve">Routine maintenance/rehabilitation </w:t>
      </w:r>
      <w:r>
        <w:rPr>
          <w:rFonts w:ascii="Century Gothic" w:hAnsi="Century Gothic" w:cs="Arial"/>
        </w:rPr>
        <w:t>p</w:t>
      </w:r>
      <w:r w:rsidRPr="00F221E2">
        <w:rPr>
          <w:rFonts w:ascii="Century Gothic" w:hAnsi="Century Gothic" w:cs="Arial"/>
        </w:rPr>
        <w:t xml:space="preserve">rojects </w:t>
      </w:r>
      <w:r w:rsidR="0066611C" w:rsidRPr="00013B0C">
        <w:rPr>
          <w:rFonts w:ascii="Century Gothic" w:hAnsi="Century Gothic" w:cs="Arial"/>
          <w:color w:val="000000" w:themeColor="text1"/>
        </w:rPr>
        <w:t>(</w:t>
      </w:r>
      <w:r w:rsidR="0066611C">
        <w:rPr>
          <w:rFonts w:ascii="Century Gothic" w:hAnsi="Century Gothic" w:cs="Arial"/>
          <w:color w:val="000000" w:themeColor="text1"/>
        </w:rPr>
        <w:t>n</w:t>
      </w:r>
      <w:r w:rsidR="0066611C" w:rsidRPr="00013B0C">
        <w:rPr>
          <w:rFonts w:ascii="Century Gothic" w:hAnsi="Century Gothic" w:cs="Arial"/>
          <w:color w:val="000000" w:themeColor="text1"/>
        </w:rPr>
        <w:t xml:space="preserve">ew and </w:t>
      </w:r>
      <w:r w:rsidR="0066611C">
        <w:rPr>
          <w:rFonts w:ascii="Century Gothic" w:hAnsi="Century Gothic" w:cs="Arial"/>
          <w:color w:val="000000" w:themeColor="text1"/>
        </w:rPr>
        <w:t>e</w:t>
      </w:r>
      <w:r w:rsidR="0066611C" w:rsidRPr="00013B0C">
        <w:rPr>
          <w:rFonts w:ascii="Century Gothic" w:hAnsi="Century Gothic" w:cs="Arial"/>
          <w:color w:val="000000" w:themeColor="text1"/>
        </w:rPr>
        <w:t>xisting)</w:t>
      </w:r>
    </w:p>
    <w:p w14:paraId="46776DA9" w14:textId="543151B7" w:rsidR="00F221E2" w:rsidRPr="00F221E2" w:rsidRDefault="00F221E2" w:rsidP="00F221E2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 w:rsidRPr="00F221E2">
        <w:rPr>
          <w:rFonts w:ascii="Century Gothic" w:hAnsi="Century Gothic" w:cs="Arial"/>
        </w:rPr>
        <w:t xml:space="preserve">Projects funding </w:t>
      </w:r>
      <w:r w:rsidR="00B31955">
        <w:rPr>
          <w:rFonts w:ascii="Century Gothic" w:hAnsi="Century Gothic" w:cs="Arial"/>
        </w:rPr>
        <w:t>o</w:t>
      </w:r>
      <w:r w:rsidRPr="00F221E2">
        <w:rPr>
          <w:rFonts w:ascii="Century Gothic" w:hAnsi="Century Gothic" w:cs="Arial"/>
        </w:rPr>
        <w:t>perations</w:t>
      </w:r>
    </w:p>
    <w:p w14:paraId="3085E61D" w14:textId="77777777" w:rsidR="00F221E2" w:rsidRPr="00F221E2" w:rsidRDefault="00F221E2" w:rsidP="00F221E2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 w:rsidRPr="00F221E2">
        <w:rPr>
          <w:rFonts w:ascii="Century Gothic" w:hAnsi="Century Gothic" w:cs="Arial"/>
        </w:rPr>
        <w:t>Projects funding personnel - including salaries of employees or contractors</w:t>
      </w:r>
    </w:p>
    <w:p w14:paraId="4687560F" w14:textId="0076AE3B" w:rsidR="00F221E2" w:rsidRDefault="00F221E2" w:rsidP="00F221E2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 w:rsidRPr="00F221E2">
        <w:rPr>
          <w:rFonts w:ascii="Century Gothic" w:hAnsi="Century Gothic" w:cs="Arial"/>
        </w:rPr>
        <w:t>Debt service payments; availability payments and coverage for other revenue losses</w:t>
      </w:r>
    </w:p>
    <w:bookmarkEnd w:id="2"/>
    <w:p w14:paraId="6406CBD9" w14:textId="77777777" w:rsidR="00490FE8" w:rsidRPr="00490FE8" w:rsidRDefault="00490FE8" w:rsidP="00490FE8">
      <w:pPr>
        <w:rPr>
          <w:rFonts w:ascii="Century Gothic" w:hAnsi="Century Gothic" w:cs="Arial"/>
        </w:rPr>
      </w:pPr>
    </w:p>
    <w:p w14:paraId="47D03B9F" w14:textId="6958C8EF" w:rsidR="00E042C3" w:rsidRPr="002B5523" w:rsidRDefault="00F221E2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2B5523">
        <w:rPr>
          <w:rFonts w:ascii="Century Gothic" w:hAnsi="Century Gothic" w:cs="Arial"/>
          <w:b/>
          <w:bCs/>
          <w:sz w:val="24"/>
          <w:szCs w:val="24"/>
          <w:u w:val="single"/>
        </w:rPr>
        <w:t>Allocations:</w:t>
      </w:r>
    </w:p>
    <w:p w14:paraId="15610672" w14:textId="34A28E73" w:rsidR="00145FAC" w:rsidRPr="002B5523" w:rsidRDefault="004A65D4" w:rsidP="00E042C3">
      <w:pPr>
        <w:rPr>
          <w:rFonts w:ascii="Century Gothic" w:hAnsi="Century Gothic" w:cs="Arial"/>
          <w:sz w:val="24"/>
          <w:szCs w:val="24"/>
        </w:rPr>
      </w:pPr>
      <w:r w:rsidRPr="002B5523">
        <w:rPr>
          <w:rFonts w:ascii="Century Gothic" w:hAnsi="Century Gothic" w:cs="Arial"/>
          <w:sz w:val="24"/>
          <w:szCs w:val="24"/>
        </w:rPr>
        <w:t xml:space="preserve">The CRRSAA </w:t>
      </w:r>
      <w:r w:rsidR="00490FE8" w:rsidRPr="002B5523">
        <w:rPr>
          <w:rFonts w:ascii="Century Gothic" w:hAnsi="Century Gothic" w:cs="Arial"/>
          <w:sz w:val="24"/>
          <w:szCs w:val="24"/>
        </w:rPr>
        <w:t>Allocation</w:t>
      </w:r>
      <w:r w:rsidR="00713173" w:rsidRPr="002B5523">
        <w:rPr>
          <w:rFonts w:ascii="Century Gothic" w:hAnsi="Century Gothic" w:cs="Arial"/>
          <w:sz w:val="24"/>
          <w:szCs w:val="24"/>
        </w:rPr>
        <w:t xml:space="preserve"> will be </w:t>
      </w:r>
      <w:r w:rsidRPr="002B5523">
        <w:rPr>
          <w:rFonts w:ascii="Century Gothic" w:hAnsi="Century Gothic" w:cs="Arial"/>
          <w:sz w:val="24"/>
          <w:szCs w:val="24"/>
        </w:rPr>
        <w:t xml:space="preserve">a </w:t>
      </w:r>
      <w:r w:rsidR="00713173" w:rsidRPr="002B5523">
        <w:rPr>
          <w:rFonts w:ascii="Century Gothic" w:hAnsi="Century Gothic" w:cs="Arial"/>
          <w:sz w:val="24"/>
          <w:szCs w:val="24"/>
        </w:rPr>
        <w:t xml:space="preserve">lump sum to </w:t>
      </w:r>
      <w:r w:rsidR="00013B0C" w:rsidRPr="002B5523">
        <w:rPr>
          <w:rFonts w:ascii="Century Gothic" w:hAnsi="Century Gothic" w:cs="Arial"/>
          <w:sz w:val="24"/>
          <w:szCs w:val="24"/>
        </w:rPr>
        <w:t>Caltrans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.  The Program </w:t>
      </w:r>
      <w:r w:rsidR="00145FAC" w:rsidRPr="002B5523">
        <w:rPr>
          <w:rFonts w:ascii="Century Gothic" w:hAnsi="Century Gothic" w:cs="Arial"/>
          <w:sz w:val="24"/>
          <w:szCs w:val="24"/>
        </w:rPr>
        <w:t xml:space="preserve">will utilize a </w:t>
      </w:r>
      <w:r w:rsidR="00713173" w:rsidRPr="002B5523">
        <w:rPr>
          <w:rFonts w:ascii="Century Gothic" w:hAnsi="Century Gothic" w:cs="Arial"/>
          <w:sz w:val="24"/>
          <w:szCs w:val="24"/>
        </w:rPr>
        <w:t>project list approved by CTC.</w:t>
      </w:r>
      <w:r w:rsidR="00DD1198" w:rsidRPr="002B5523">
        <w:rPr>
          <w:rFonts w:ascii="Century Gothic" w:hAnsi="Century Gothic" w:cs="Arial"/>
          <w:sz w:val="24"/>
          <w:szCs w:val="24"/>
        </w:rPr>
        <w:t xml:space="preserve"> </w:t>
      </w:r>
      <w:r w:rsidR="0076499D" w:rsidRPr="002B5523">
        <w:rPr>
          <w:rFonts w:ascii="Century Gothic" w:hAnsi="Century Gothic" w:cs="Arial"/>
          <w:sz w:val="24"/>
          <w:szCs w:val="24"/>
        </w:rPr>
        <w:t xml:space="preserve"> Regions</w:t>
      </w:r>
      <w:r w:rsidR="00145FAC" w:rsidRPr="002B5523">
        <w:rPr>
          <w:rFonts w:ascii="Century Gothic" w:hAnsi="Century Gothic" w:cs="Arial"/>
          <w:sz w:val="24"/>
          <w:szCs w:val="24"/>
        </w:rPr>
        <w:t xml:space="preserve"> must submit their project list to Caltrans Local Assistance </w:t>
      </w:r>
      <w:r w:rsidR="00B31955" w:rsidRPr="002B5523">
        <w:rPr>
          <w:rFonts w:ascii="Century Gothic" w:hAnsi="Century Gothic" w:cs="Arial"/>
          <w:sz w:val="24"/>
          <w:szCs w:val="24"/>
        </w:rPr>
        <w:t>using</w:t>
      </w:r>
      <w:r w:rsidR="00145FAC" w:rsidRPr="002B5523">
        <w:rPr>
          <w:rFonts w:ascii="Century Gothic" w:hAnsi="Century Gothic" w:cs="Arial"/>
          <w:sz w:val="24"/>
          <w:szCs w:val="24"/>
        </w:rPr>
        <w:t xml:space="preserve"> the table below:</w:t>
      </w:r>
    </w:p>
    <w:p w14:paraId="2AF3BC37" w14:textId="63886099" w:rsidR="00145FAC" w:rsidRPr="002B5523" w:rsidRDefault="00145FAC" w:rsidP="00E042C3">
      <w:pPr>
        <w:rPr>
          <w:rFonts w:ascii="Century Gothic" w:hAnsi="Century Gothic" w:cs="Arial"/>
          <w:sz w:val="24"/>
          <w:szCs w:val="24"/>
        </w:rPr>
      </w:pPr>
    </w:p>
    <w:tbl>
      <w:tblPr>
        <w:tblStyle w:val="TableGrid"/>
        <w:tblW w:w="10357" w:type="dxa"/>
        <w:tblLayout w:type="fixed"/>
        <w:tblLook w:val="04A0" w:firstRow="1" w:lastRow="0" w:firstColumn="1" w:lastColumn="0" w:noHBand="0" w:noVBand="1"/>
      </w:tblPr>
      <w:tblGrid>
        <w:gridCol w:w="746"/>
        <w:gridCol w:w="1276"/>
        <w:gridCol w:w="763"/>
        <w:gridCol w:w="990"/>
        <w:gridCol w:w="990"/>
        <w:gridCol w:w="720"/>
        <w:gridCol w:w="1080"/>
        <w:gridCol w:w="810"/>
        <w:gridCol w:w="1548"/>
        <w:gridCol w:w="776"/>
        <w:gridCol w:w="658"/>
      </w:tblGrid>
      <w:tr w:rsidR="0066611C" w:rsidRPr="002B5523" w14:paraId="1435B464" w14:textId="77777777" w:rsidTr="0066611C">
        <w:tc>
          <w:tcPr>
            <w:tcW w:w="746" w:type="dxa"/>
          </w:tcPr>
          <w:p w14:paraId="3116134C" w14:textId="6EA87D7D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bookmarkStart w:id="3" w:name="_Hlk71814793"/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District</w:t>
            </w:r>
          </w:p>
        </w:tc>
        <w:tc>
          <w:tcPr>
            <w:tcW w:w="1276" w:type="dxa"/>
          </w:tcPr>
          <w:p w14:paraId="36EF1769" w14:textId="34ACE7D4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Administering Local Agency</w:t>
            </w:r>
          </w:p>
        </w:tc>
        <w:tc>
          <w:tcPr>
            <w:tcW w:w="763" w:type="dxa"/>
          </w:tcPr>
          <w:p w14:paraId="0D61F7F5" w14:textId="31C3C8E1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County</w:t>
            </w:r>
          </w:p>
        </w:tc>
        <w:tc>
          <w:tcPr>
            <w:tcW w:w="990" w:type="dxa"/>
          </w:tcPr>
          <w:p w14:paraId="02721932" w14:textId="2281535D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Respective RTPA</w:t>
            </w:r>
          </w:p>
        </w:tc>
        <w:tc>
          <w:tcPr>
            <w:tcW w:w="990" w:type="dxa"/>
          </w:tcPr>
          <w:p w14:paraId="6E3D4690" w14:textId="1B9A5CD5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Respective MPO</w:t>
            </w:r>
          </w:p>
        </w:tc>
        <w:tc>
          <w:tcPr>
            <w:tcW w:w="720" w:type="dxa"/>
          </w:tcPr>
          <w:p w14:paraId="3FC8F362" w14:textId="43D2E18D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Project Name</w:t>
            </w:r>
          </w:p>
        </w:tc>
        <w:tc>
          <w:tcPr>
            <w:tcW w:w="1080" w:type="dxa"/>
          </w:tcPr>
          <w:p w14:paraId="1B2DC4C1" w14:textId="75D5A998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Brief Project Description</w:t>
            </w:r>
          </w:p>
        </w:tc>
        <w:tc>
          <w:tcPr>
            <w:tcW w:w="810" w:type="dxa"/>
          </w:tcPr>
          <w:p w14:paraId="45E1E4E6" w14:textId="0545C6AC" w:rsidR="00C201DD" w:rsidRPr="002B5523" w:rsidRDefault="00DD1198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 xml:space="preserve">CRRSAA </w:t>
            </w:r>
            <w:r w:rsidR="00C201DD"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funding</w:t>
            </w:r>
          </w:p>
        </w:tc>
        <w:tc>
          <w:tcPr>
            <w:tcW w:w="1548" w:type="dxa"/>
          </w:tcPr>
          <w:p w14:paraId="2621BDDF" w14:textId="0923FC44" w:rsidR="00C201DD" w:rsidRPr="002B5523" w:rsidRDefault="0066611C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State Exchange /</w:t>
            </w:r>
            <w:r w:rsidR="00C201DD"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SOF Requested (Yes/No)</w:t>
            </w:r>
          </w:p>
        </w:tc>
        <w:tc>
          <w:tcPr>
            <w:tcW w:w="776" w:type="dxa"/>
          </w:tcPr>
          <w:p w14:paraId="06171BA8" w14:textId="0951E743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Total Project Cost</w:t>
            </w:r>
          </w:p>
        </w:tc>
        <w:tc>
          <w:tcPr>
            <w:tcW w:w="658" w:type="dxa"/>
          </w:tcPr>
          <w:p w14:paraId="3F8CB62D" w14:textId="5D83584C" w:rsidR="00C201DD" w:rsidRPr="002B5523" w:rsidRDefault="00C201DD" w:rsidP="00B31955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B5523">
              <w:rPr>
                <w:rFonts w:ascii="Century Gothic" w:hAnsi="Century Gothic" w:cs="Arial"/>
                <w:b/>
                <w:bCs/>
                <w:sz w:val="14"/>
                <w:szCs w:val="14"/>
              </w:rPr>
              <w:t>Notes</w:t>
            </w:r>
          </w:p>
        </w:tc>
      </w:tr>
      <w:tr w:rsidR="0066611C" w:rsidRPr="002B5523" w14:paraId="05BE4162" w14:textId="77777777" w:rsidTr="0066611C">
        <w:tc>
          <w:tcPr>
            <w:tcW w:w="746" w:type="dxa"/>
          </w:tcPr>
          <w:p w14:paraId="6B562436" w14:textId="28CF564D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B81B2F" w14:textId="41DBD035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4BF7C5BF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B6A0AE6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310394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631F81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BC706D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31FA44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1DA140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3A5AAF10" w14:textId="777DE741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14:paraId="43FAC0AB" w14:textId="77777777" w:rsidR="00C201DD" w:rsidRPr="002B5523" w:rsidRDefault="00C201DD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6611C" w:rsidRPr="002B5523" w14:paraId="30CB39B6" w14:textId="77777777" w:rsidTr="0066611C">
        <w:tc>
          <w:tcPr>
            <w:tcW w:w="746" w:type="dxa"/>
          </w:tcPr>
          <w:p w14:paraId="521CEFD1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9019D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2F2FB1F6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CB009C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E33D23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AD20BD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CDAEE6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BBAF43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3F5191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928F24E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14:paraId="22E470E1" w14:textId="77777777" w:rsidR="0066611C" w:rsidRPr="002B5523" w:rsidRDefault="0066611C" w:rsidP="00145FA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bookmarkEnd w:id="3"/>
    </w:tbl>
    <w:p w14:paraId="17C18C49" w14:textId="515F628E" w:rsidR="00F221E2" w:rsidRPr="002B5523" w:rsidRDefault="00F221E2" w:rsidP="00E042C3">
      <w:pPr>
        <w:rPr>
          <w:rFonts w:ascii="Century Gothic" w:hAnsi="Century Gothic" w:cs="Arial"/>
          <w:sz w:val="24"/>
          <w:szCs w:val="24"/>
        </w:rPr>
      </w:pPr>
    </w:p>
    <w:p w14:paraId="2F7C8A97" w14:textId="639F77A7" w:rsidR="00737B21" w:rsidRDefault="00B31955" w:rsidP="00E042C3">
      <w:pPr>
        <w:rPr>
          <w:rFonts w:ascii="Century Gothic" w:hAnsi="Century Gothic" w:cs="Arial"/>
          <w:sz w:val="24"/>
          <w:szCs w:val="24"/>
        </w:rPr>
      </w:pPr>
      <w:r w:rsidRPr="002B5523">
        <w:rPr>
          <w:rFonts w:ascii="Century Gothic" w:hAnsi="Century Gothic" w:cs="Arial"/>
          <w:sz w:val="24"/>
          <w:szCs w:val="24"/>
        </w:rPr>
        <w:t>Districts will review the list and submit them to DLA HQ (</w:t>
      </w:r>
      <w:hyperlink r:id="rId7" w:history="1">
        <w:r w:rsidRPr="002B5523">
          <w:rPr>
            <w:rStyle w:val="Hyperlink"/>
            <w:rFonts w:ascii="Century Gothic" w:hAnsi="Century Gothic" w:cs="Arial"/>
            <w:sz w:val="24"/>
            <w:szCs w:val="24"/>
          </w:rPr>
          <w:t>Jaime.Espinoza@dot.ca.gov</w:t>
        </w:r>
      </w:hyperlink>
      <w:r w:rsidRPr="002B5523">
        <w:rPr>
          <w:rFonts w:ascii="Century Gothic" w:hAnsi="Century Gothic" w:cs="Arial"/>
          <w:sz w:val="24"/>
          <w:szCs w:val="24"/>
        </w:rPr>
        <w:t xml:space="preserve">).  </w:t>
      </w:r>
      <w:r w:rsidR="00737B21" w:rsidRPr="002B5523">
        <w:rPr>
          <w:rFonts w:ascii="Century Gothic" w:hAnsi="Century Gothic" w:cs="Arial"/>
          <w:sz w:val="24"/>
          <w:szCs w:val="24"/>
        </w:rPr>
        <w:t>DLA HQ will co</w:t>
      </w:r>
      <w:r w:rsidR="004A65D4" w:rsidRPr="002B5523">
        <w:rPr>
          <w:rFonts w:ascii="Century Gothic" w:hAnsi="Century Gothic" w:cs="Arial"/>
          <w:sz w:val="24"/>
          <w:szCs w:val="24"/>
        </w:rPr>
        <w:t xml:space="preserve">mpile all </w:t>
      </w:r>
      <w:r w:rsidR="0076499D" w:rsidRPr="002B5523">
        <w:rPr>
          <w:rFonts w:ascii="Century Gothic" w:hAnsi="Century Gothic" w:cs="Arial"/>
          <w:sz w:val="24"/>
          <w:szCs w:val="24"/>
        </w:rPr>
        <w:t>Regional</w:t>
      </w:r>
      <w:r w:rsidR="004A65D4" w:rsidRPr="002B5523">
        <w:rPr>
          <w:rFonts w:ascii="Century Gothic" w:hAnsi="Century Gothic" w:cs="Arial"/>
          <w:sz w:val="24"/>
          <w:szCs w:val="24"/>
        </w:rPr>
        <w:t xml:space="preserve"> </w:t>
      </w:r>
      <w:r w:rsidR="00737B21" w:rsidRPr="002B5523">
        <w:rPr>
          <w:rFonts w:ascii="Century Gothic" w:hAnsi="Century Gothic" w:cs="Arial"/>
          <w:sz w:val="24"/>
          <w:szCs w:val="24"/>
        </w:rPr>
        <w:t>project lists</w:t>
      </w:r>
      <w:r w:rsidR="004A65D4" w:rsidRPr="002B5523">
        <w:rPr>
          <w:rFonts w:ascii="Century Gothic" w:hAnsi="Century Gothic" w:cs="Arial"/>
          <w:sz w:val="24"/>
          <w:szCs w:val="24"/>
        </w:rPr>
        <w:t xml:space="preserve"> into one and </w:t>
      </w:r>
      <w:r w:rsidR="00737B21" w:rsidRPr="002B5523">
        <w:rPr>
          <w:rFonts w:ascii="Century Gothic" w:hAnsi="Century Gothic" w:cs="Arial"/>
          <w:sz w:val="24"/>
          <w:szCs w:val="24"/>
        </w:rPr>
        <w:t>prepare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 a </w:t>
      </w:r>
      <w:r w:rsidR="00737B21" w:rsidRPr="002B5523">
        <w:rPr>
          <w:rFonts w:ascii="Century Gothic" w:hAnsi="Century Gothic" w:cs="Arial"/>
          <w:sz w:val="24"/>
          <w:szCs w:val="24"/>
        </w:rPr>
        <w:t xml:space="preserve">book item for inclusion </w:t>
      </w:r>
      <w:r w:rsidR="00215901" w:rsidRPr="002B5523">
        <w:rPr>
          <w:rFonts w:ascii="Century Gothic" w:hAnsi="Century Gothic" w:cs="Arial"/>
          <w:sz w:val="24"/>
          <w:szCs w:val="24"/>
        </w:rPr>
        <w:t>on</w:t>
      </w:r>
      <w:r w:rsidR="00737B21" w:rsidRPr="002B5523">
        <w:rPr>
          <w:rFonts w:ascii="Century Gothic" w:hAnsi="Century Gothic" w:cs="Arial"/>
          <w:sz w:val="24"/>
          <w:szCs w:val="24"/>
        </w:rPr>
        <w:t xml:space="preserve"> the Commission Agenda</w:t>
      </w:r>
      <w:r w:rsidR="0066611C" w:rsidRPr="002B5523">
        <w:rPr>
          <w:rFonts w:ascii="Century Gothic" w:hAnsi="Century Gothic" w:cs="Arial"/>
          <w:sz w:val="24"/>
          <w:szCs w:val="24"/>
        </w:rPr>
        <w:t>.  Updated lists will be presented at Commission Meetings as needed</w:t>
      </w:r>
      <w:r w:rsidR="00737B21" w:rsidRPr="002B5523">
        <w:rPr>
          <w:rFonts w:ascii="Century Gothic" w:hAnsi="Century Gothic" w:cs="Arial"/>
          <w:sz w:val="24"/>
          <w:szCs w:val="24"/>
        </w:rPr>
        <w:t xml:space="preserve">.  </w:t>
      </w:r>
      <w:r w:rsidR="00EE5D93" w:rsidRPr="002B5523">
        <w:rPr>
          <w:rFonts w:ascii="Century Gothic" w:hAnsi="Century Gothic" w:cs="Arial"/>
          <w:sz w:val="24"/>
          <w:szCs w:val="24"/>
        </w:rPr>
        <w:t>All projects will require an ePPR</w:t>
      </w:r>
      <w:r w:rsidR="0066611C" w:rsidRPr="002B5523">
        <w:rPr>
          <w:rFonts w:ascii="Century Gothic" w:hAnsi="Century Gothic" w:cs="Arial"/>
          <w:sz w:val="24"/>
          <w:szCs w:val="24"/>
        </w:rPr>
        <w:t xml:space="preserve">; </w:t>
      </w:r>
      <w:r w:rsidR="0076499D" w:rsidRPr="002B5523">
        <w:rPr>
          <w:rFonts w:ascii="Century Gothic" w:hAnsi="Century Gothic" w:cs="Arial"/>
          <w:sz w:val="24"/>
          <w:szCs w:val="24"/>
        </w:rPr>
        <w:t>Regions</w:t>
      </w:r>
      <w:r w:rsidR="004A65D4" w:rsidRPr="002B5523">
        <w:rPr>
          <w:rFonts w:ascii="Century Gothic" w:hAnsi="Century Gothic" w:cs="Arial"/>
          <w:sz w:val="24"/>
          <w:szCs w:val="24"/>
        </w:rPr>
        <w:t xml:space="preserve"> </w:t>
      </w:r>
      <w:r w:rsidR="0088555A">
        <w:rPr>
          <w:rFonts w:ascii="Century Gothic" w:hAnsi="Century Gothic" w:cs="Arial"/>
          <w:sz w:val="24"/>
          <w:szCs w:val="24"/>
        </w:rPr>
        <w:t>will</w:t>
      </w:r>
      <w:r w:rsidR="004A65D4" w:rsidRPr="002B5523">
        <w:rPr>
          <w:rFonts w:ascii="Century Gothic" w:hAnsi="Century Gothic" w:cs="Arial"/>
          <w:sz w:val="24"/>
          <w:szCs w:val="24"/>
        </w:rPr>
        <w:t xml:space="preserve"> create </w:t>
      </w:r>
      <w:r w:rsidR="0076499D" w:rsidRPr="002B5523">
        <w:rPr>
          <w:rFonts w:ascii="Century Gothic" w:hAnsi="Century Gothic" w:cs="Arial"/>
          <w:sz w:val="24"/>
          <w:szCs w:val="24"/>
        </w:rPr>
        <w:t xml:space="preserve">an </w:t>
      </w:r>
      <w:r w:rsidR="004A65D4" w:rsidRPr="002B5523">
        <w:rPr>
          <w:rFonts w:ascii="Century Gothic" w:hAnsi="Century Gothic" w:cs="Arial"/>
          <w:sz w:val="24"/>
          <w:szCs w:val="24"/>
        </w:rPr>
        <w:t>ePPR via CalSMAR</w:t>
      </w:r>
      <w:r w:rsidR="00E038B7" w:rsidRPr="002B5523">
        <w:rPr>
          <w:rFonts w:ascii="Century Gothic" w:hAnsi="Century Gothic" w:cs="Arial"/>
          <w:sz w:val="24"/>
          <w:szCs w:val="24"/>
        </w:rPr>
        <w:t>T</w:t>
      </w:r>
      <w:r w:rsidR="0076499D" w:rsidRPr="002B5523">
        <w:rPr>
          <w:rFonts w:ascii="Century Gothic" w:hAnsi="Century Gothic" w:cs="Arial"/>
          <w:sz w:val="24"/>
          <w:szCs w:val="24"/>
        </w:rPr>
        <w:t xml:space="preserve"> for each project</w:t>
      </w:r>
      <w:r w:rsidR="00E038B7" w:rsidRPr="002B5523">
        <w:rPr>
          <w:rFonts w:ascii="Century Gothic" w:hAnsi="Century Gothic" w:cs="Arial"/>
          <w:sz w:val="24"/>
          <w:szCs w:val="24"/>
        </w:rPr>
        <w:t xml:space="preserve"> </w:t>
      </w:r>
      <w:r w:rsidR="004A65D4" w:rsidRPr="002B5523">
        <w:rPr>
          <w:rFonts w:ascii="Century Gothic" w:hAnsi="Century Gothic" w:cs="Arial"/>
          <w:sz w:val="24"/>
          <w:szCs w:val="24"/>
        </w:rPr>
        <w:t>and submit</w:t>
      </w:r>
      <w:r w:rsidR="00E038B7" w:rsidRPr="002B5523">
        <w:rPr>
          <w:rFonts w:ascii="Century Gothic" w:hAnsi="Century Gothic" w:cs="Arial"/>
          <w:sz w:val="24"/>
          <w:szCs w:val="24"/>
        </w:rPr>
        <w:t xml:space="preserve"> it with their allocation</w:t>
      </w:r>
      <w:r w:rsidR="0088555A">
        <w:rPr>
          <w:rFonts w:ascii="Century Gothic" w:hAnsi="Century Gothic" w:cs="Arial"/>
          <w:sz w:val="24"/>
          <w:szCs w:val="24"/>
        </w:rPr>
        <w:t>/authorization forms.</w:t>
      </w:r>
      <w:r w:rsidR="00E038B7">
        <w:rPr>
          <w:rFonts w:ascii="Century Gothic" w:hAnsi="Century Gothic" w:cs="Arial"/>
          <w:sz w:val="24"/>
          <w:szCs w:val="24"/>
        </w:rPr>
        <w:t xml:space="preserve"> </w:t>
      </w:r>
    </w:p>
    <w:p w14:paraId="49327BDC" w14:textId="77777777" w:rsidR="00E038B7" w:rsidRDefault="00E038B7" w:rsidP="00E042C3">
      <w:pPr>
        <w:rPr>
          <w:rFonts w:ascii="Century Gothic" w:hAnsi="Century Gothic" w:cs="Arial"/>
          <w:sz w:val="24"/>
          <w:szCs w:val="24"/>
        </w:rPr>
      </w:pPr>
    </w:p>
    <w:p w14:paraId="11A33B5A" w14:textId="77777777" w:rsidR="00737B21" w:rsidRPr="0066611C" w:rsidRDefault="00737B21" w:rsidP="00737B21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66611C">
        <w:rPr>
          <w:rFonts w:ascii="Century Gothic" w:hAnsi="Century Gothic" w:cs="Arial"/>
          <w:b/>
          <w:bCs/>
          <w:sz w:val="24"/>
          <w:szCs w:val="24"/>
          <w:u w:val="single"/>
        </w:rPr>
        <w:t>Cost Increases:</w:t>
      </w:r>
    </w:p>
    <w:p w14:paraId="5354B5BB" w14:textId="7C71E8F4" w:rsidR="00B31955" w:rsidRDefault="00737B21" w:rsidP="00E042C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Caltrans Director is delegated the authority to approve increases to individual projects up to 20%</w:t>
      </w:r>
      <w:r w:rsidR="00300C45">
        <w:rPr>
          <w:rFonts w:ascii="Century Gothic" w:hAnsi="Century Gothic" w:cs="Arial"/>
          <w:sz w:val="24"/>
          <w:szCs w:val="24"/>
        </w:rPr>
        <w:t xml:space="preserve"> (CRRSAA funds, not total project cost).  I</w:t>
      </w:r>
      <w:r>
        <w:rPr>
          <w:rFonts w:ascii="Century Gothic" w:hAnsi="Century Gothic" w:cs="Arial"/>
          <w:sz w:val="24"/>
          <w:szCs w:val="24"/>
        </w:rPr>
        <w:t xml:space="preserve">ncreases cannot exceed </w:t>
      </w:r>
      <w:r>
        <w:rPr>
          <w:rFonts w:ascii="Century Gothic" w:hAnsi="Century Gothic" w:cs="Arial"/>
          <w:sz w:val="24"/>
          <w:szCs w:val="24"/>
        </w:rPr>
        <w:lastRenderedPageBreak/>
        <w:t xml:space="preserve">the region’s CRRSAA funding.  </w:t>
      </w:r>
      <w:r w:rsidR="00B31955">
        <w:rPr>
          <w:rFonts w:ascii="Century Gothic" w:hAnsi="Century Gothic" w:cs="Arial"/>
          <w:sz w:val="24"/>
          <w:szCs w:val="24"/>
        </w:rPr>
        <w:t>The Project List must be kept current.  Except for the 20% cost increase</w:t>
      </w:r>
      <w:r>
        <w:rPr>
          <w:rFonts w:ascii="Century Gothic" w:hAnsi="Century Gothic" w:cs="Arial"/>
          <w:sz w:val="24"/>
          <w:szCs w:val="24"/>
        </w:rPr>
        <w:t xml:space="preserve"> changes</w:t>
      </w:r>
      <w:r w:rsidR="00B31955">
        <w:rPr>
          <w:rFonts w:ascii="Century Gothic" w:hAnsi="Century Gothic" w:cs="Arial"/>
          <w:sz w:val="24"/>
          <w:szCs w:val="24"/>
        </w:rPr>
        <w:t xml:space="preserve">, any changes to the Project List will be handled through an Allocation Amendment.  </w:t>
      </w:r>
      <w:r>
        <w:rPr>
          <w:rFonts w:ascii="Century Gothic" w:hAnsi="Century Gothic" w:cs="Arial"/>
          <w:sz w:val="24"/>
          <w:szCs w:val="24"/>
        </w:rPr>
        <w:t xml:space="preserve">The request </w:t>
      </w:r>
      <w:r w:rsidR="005E0E0E">
        <w:rPr>
          <w:rFonts w:ascii="Century Gothic" w:hAnsi="Century Gothic" w:cs="Arial"/>
          <w:sz w:val="24"/>
          <w:szCs w:val="24"/>
        </w:rPr>
        <w:t xml:space="preserve">to Caltrans </w:t>
      </w:r>
      <w:r>
        <w:rPr>
          <w:rFonts w:ascii="Century Gothic" w:hAnsi="Century Gothic" w:cs="Arial"/>
          <w:sz w:val="24"/>
          <w:szCs w:val="24"/>
        </w:rPr>
        <w:t>shall include the original approved list</w:t>
      </w:r>
      <w:r w:rsidR="005E0E0E">
        <w:rPr>
          <w:rFonts w:ascii="Century Gothic" w:hAnsi="Century Gothic" w:cs="Arial"/>
          <w:sz w:val="24"/>
          <w:szCs w:val="24"/>
        </w:rPr>
        <w:t xml:space="preserve"> with all </w:t>
      </w:r>
      <w:r>
        <w:rPr>
          <w:rFonts w:ascii="Century Gothic" w:hAnsi="Century Gothic" w:cs="Arial"/>
          <w:sz w:val="24"/>
          <w:szCs w:val="24"/>
        </w:rPr>
        <w:t xml:space="preserve">changes </w:t>
      </w:r>
      <w:r w:rsidR="005E0E0E">
        <w:rPr>
          <w:rFonts w:ascii="Century Gothic" w:hAnsi="Century Gothic" w:cs="Arial"/>
          <w:sz w:val="24"/>
          <w:szCs w:val="24"/>
        </w:rPr>
        <w:t xml:space="preserve">shown </w:t>
      </w:r>
      <w:r>
        <w:rPr>
          <w:rFonts w:ascii="Century Gothic" w:hAnsi="Century Gothic" w:cs="Arial"/>
          <w:sz w:val="24"/>
          <w:szCs w:val="24"/>
        </w:rPr>
        <w:t>as strikeouts</w:t>
      </w:r>
      <w:r w:rsidR="005E0E0E">
        <w:rPr>
          <w:rFonts w:ascii="Century Gothic" w:hAnsi="Century Gothic" w:cs="Arial"/>
          <w:sz w:val="24"/>
          <w:szCs w:val="24"/>
        </w:rPr>
        <w:t xml:space="preserve">, and an updated ePPR. </w:t>
      </w:r>
      <w:r>
        <w:rPr>
          <w:rFonts w:ascii="Century Gothic" w:hAnsi="Century Gothic" w:cs="Arial"/>
          <w:sz w:val="24"/>
          <w:szCs w:val="24"/>
        </w:rPr>
        <w:t xml:space="preserve">  No allocation amendment</w:t>
      </w:r>
      <w:r w:rsidR="005E0E0E">
        <w:rPr>
          <w:rFonts w:ascii="Century Gothic" w:hAnsi="Century Gothic" w:cs="Arial"/>
          <w:sz w:val="24"/>
          <w:szCs w:val="24"/>
        </w:rPr>
        <w:t>s</w:t>
      </w:r>
      <w:r>
        <w:rPr>
          <w:rFonts w:ascii="Century Gothic" w:hAnsi="Century Gothic" w:cs="Arial"/>
          <w:sz w:val="24"/>
          <w:szCs w:val="24"/>
        </w:rPr>
        <w:t xml:space="preserve"> will be allowed after October 2023. </w:t>
      </w:r>
    </w:p>
    <w:p w14:paraId="35A750DD" w14:textId="77777777" w:rsidR="00FD21F3" w:rsidRDefault="00FD21F3" w:rsidP="00E042C3">
      <w:pPr>
        <w:rPr>
          <w:rFonts w:ascii="Century Gothic" w:hAnsi="Century Gothic" w:cs="Arial"/>
          <w:sz w:val="24"/>
          <w:szCs w:val="24"/>
        </w:rPr>
      </w:pPr>
    </w:p>
    <w:p w14:paraId="22DC0250" w14:textId="64241129" w:rsidR="00737B21" w:rsidRPr="00D02505" w:rsidRDefault="000E2C11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02505">
        <w:rPr>
          <w:rFonts w:ascii="Century Gothic" w:hAnsi="Century Gothic" w:cs="Arial"/>
          <w:b/>
          <w:bCs/>
          <w:sz w:val="24"/>
          <w:szCs w:val="24"/>
          <w:u w:val="single"/>
        </w:rPr>
        <w:t>Project Delivery Process:</w:t>
      </w:r>
    </w:p>
    <w:p w14:paraId="179070C1" w14:textId="5244312C" w:rsidR="005B1F39" w:rsidRDefault="005B1F39" w:rsidP="00E042C3">
      <w:pPr>
        <w:rPr>
          <w:rFonts w:ascii="Century Gothic" w:hAnsi="Century Gothic" w:cs="Arial"/>
          <w:sz w:val="24"/>
          <w:szCs w:val="24"/>
        </w:rPr>
      </w:pPr>
      <w:r w:rsidRPr="002B5523">
        <w:rPr>
          <w:rFonts w:ascii="Century Gothic" w:hAnsi="Century Gothic" w:cs="Arial"/>
          <w:sz w:val="24"/>
          <w:szCs w:val="24"/>
        </w:rPr>
        <w:t>Local agencies can proceed with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C27467">
        <w:rPr>
          <w:rFonts w:ascii="Century Gothic" w:hAnsi="Century Gothic" w:cs="Arial"/>
          <w:sz w:val="24"/>
          <w:szCs w:val="24"/>
        </w:rPr>
        <w:t>reimbursable</w:t>
      </w:r>
      <w:r w:rsidR="0022580D">
        <w:rPr>
          <w:rFonts w:ascii="Century Gothic" w:hAnsi="Century Gothic" w:cs="Arial"/>
          <w:sz w:val="24"/>
          <w:szCs w:val="24"/>
        </w:rPr>
        <w:t xml:space="preserve"> work </w:t>
      </w:r>
      <w:r w:rsidR="00C27467">
        <w:rPr>
          <w:rFonts w:ascii="Century Gothic" w:hAnsi="Century Gothic" w:cs="Arial"/>
          <w:sz w:val="24"/>
          <w:szCs w:val="24"/>
        </w:rPr>
        <w:t xml:space="preserve">on </w:t>
      </w:r>
      <w:r>
        <w:rPr>
          <w:rFonts w:ascii="Century Gothic" w:hAnsi="Century Gothic" w:cs="Arial"/>
          <w:sz w:val="24"/>
          <w:szCs w:val="24"/>
        </w:rPr>
        <w:t>project once:</w:t>
      </w:r>
    </w:p>
    <w:p w14:paraId="3D3897A5" w14:textId="6ED60D97" w:rsidR="005B1F39" w:rsidRPr="002B5523" w:rsidRDefault="005B1F39" w:rsidP="00215901">
      <w:pPr>
        <w:pStyle w:val="ListParagraph"/>
        <w:numPr>
          <w:ilvl w:val="0"/>
          <w:numId w:val="10"/>
        </w:numPr>
        <w:rPr>
          <w:rFonts w:ascii="Century Gothic" w:hAnsi="Century Gothic" w:cs="Arial"/>
        </w:rPr>
      </w:pPr>
      <w:bookmarkStart w:id="4" w:name="_Hlk72417276"/>
      <w:r w:rsidRPr="002B5523">
        <w:rPr>
          <w:rFonts w:ascii="Century Gothic" w:hAnsi="Century Gothic" w:cs="Arial"/>
        </w:rPr>
        <w:t xml:space="preserve">The project </w:t>
      </w:r>
      <w:r w:rsidR="00215901" w:rsidRPr="002B5523">
        <w:rPr>
          <w:rFonts w:ascii="Century Gothic" w:hAnsi="Century Gothic" w:cs="Arial"/>
        </w:rPr>
        <w:t xml:space="preserve">appears on and </w:t>
      </w:r>
      <w:r w:rsidR="00CD5F35" w:rsidRPr="002B5523">
        <w:rPr>
          <w:rFonts w:ascii="Century Gothic" w:hAnsi="Century Gothic" w:cs="Arial"/>
        </w:rPr>
        <w:t xml:space="preserve">has </w:t>
      </w:r>
      <w:r w:rsidRPr="002B5523">
        <w:rPr>
          <w:rFonts w:ascii="Century Gothic" w:hAnsi="Century Gothic" w:cs="Arial"/>
        </w:rPr>
        <w:t>been approved via the CTC Project list</w:t>
      </w:r>
    </w:p>
    <w:p w14:paraId="02223BA9" w14:textId="2600BA26" w:rsidR="0049605F" w:rsidRPr="00780774" w:rsidRDefault="0049605F" w:rsidP="0049605F">
      <w:pPr>
        <w:pStyle w:val="ListParagraph"/>
        <w:numPr>
          <w:ilvl w:val="0"/>
          <w:numId w:val="10"/>
        </w:numPr>
        <w:rPr>
          <w:rFonts w:ascii="Century Gothic" w:hAnsi="Century Gothic" w:cs="Arial"/>
        </w:rPr>
      </w:pPr>
      <w:r w:rsidRPr="00780774">
        <w:rPr>
          <w:rFonts w:ascii="Century Gothic" w:hAnsi="Century Gothic" w:cs="Arial"/>
        </w:rPr>
        <w:t>Process FSTIP</w:t>
      </w:r>
      <w:r w:rsidR="00CB0580" w:rsidRPr="00780774">
        <w:rPr>
          <w:rFonts w:ascii="Century Gothic" w:hAnsi="Century Gothic" w:cs="Arial"/>
        </w:rPr>
        <w:t xml:space="preserve"> </w:t>
      </w:r>
      <w:r w:rsidRPr="00780774">
        <w:rPr>
          <w:rFonts w:ascii="Century Gothic" w:hAnsi="Century Gothic" w:cs="Arial"/>
        </w:rPr>
        <w:t>Amendment</w:t>
      </w:r>
      <w:r w:rsidR="0076499D" w:rsidRPr="00780774">
        <w:rPr>
          <w:rFonts w:ascii="Century Gothic" w:hAnsi="Century Gothic" w:cs="Arial"/>
        </w:rPr>
        <w:t>(s)</w:t>
      </w:r>
      <w:r w:rsidR="00862066">
        <w:rPr>
          <w:rFonts w:ascii="Century Gothic" w:hAnsi="Century Gothic" w:cs="Arial"/>
        </w:rPr>
        <w:t>, as required</w:t>
      </w:r>
    </w:p>
    <w:p w14:paraId="0EE83B93" w14:textId="3FAF0F5B" w:rsidR="00B76C9A" w:rsidRPr="003574DA" w:rsidRDefault="00B76C9A" w:rsidP="0049605F">
      <w:pPr>
        <w:pStyle w:val="ListParagraph"/>
        <w:numPr>
          <w:ilvl w:val="0"/>
          <w:numId w:val="10"/>
        </w:numPr>
        <w:rPr>
          <w:rFonts w:ascii="Century Gothic" w:hAnsi="Century Gothic" w:cs="Arial"/>
          <w:color w:val="000000" w:themeColor="text1"/>
        </w:rPr>
      </w:pPr>
      <w:r w:rsidRPr="003574DA">
        <w:rPr>
          <w:rFonts w:ascii="Century Gothic" w:hAnsi="Century Gothic" w:cs="Arial"/>
          <w:color w:val="000000" w:themeColor="text1"/>
        </w:rPr>
        <w:t>Submittal of an ePPR</w:t>
      </w:r>
      <w:r w:rsidR="00862066">
        <w:rPr>
          <w:rFonts w:ascii="Century Gothic" w:hAnsi="Century Gothic" w:cs="Arial"/>
          <w:color w:val="000000" w:themeColor="text1"/>
        </w:rPr>
        <w:t xml:space="preserve"> </w:t>
      </w:r>
    </w:p>
    <w:p w14:paraId="33A4FC52" w14:textId="4FFE9045" w:rsidR="00CD5F35" w:rsidRDefault="00215901" w:rsidP="00215901">
      <w:pPr>
        <w:pStyle w:val="ListParagraph"/>
        <w:numPr>
          <w:ilvl w:val="0"/>
          <w:numId w:val="10"/>
        </w:numPr>
        <w:rPr>
          <w:rFonts w:ascii="Century Gothic" w:hAnsi="Century Gothic" w:cs="Arial"/>
        </w:rPr>
      </w:pPr>
      <w:r w:rsidRPr="00215901">
        <w:rPr>
          <w:rFonts w:ascii="Century Gothic" w:hAnsi="Century Gothic" w:cs="Arial"/>
        </w:rPr>
        <w:t>Submittal of the project allocation form</w:t>
      </w:r>
      <w:r>
        <w:rPr>
          <w:rFonts w:ascii="Century Gothic" w:hAnsi="Century Gothic" w:cs="Arial"/>
        </w:rPr>
        <w:t xml:space="preserve"> (</w:t>
      </w:r>
      <w:r w:rsidRPr="00215901">
        <w:rPr>
          <w:rFonts w:ascii="Century Gothic" w:hAnsi="Century Gothic" w:cs="Arial"/>
        </w:rPr>
        <w:t>Attachment B</w:t>
      </w:r>
      <w:r>
        <w:rPr>
          <w:rFonts w:ascii="Century Gothic" w:hAnsi="Century Gothic" w:cs="Arial"/>
        </w:rPr>
        <w:t xml:space="preserve">) </w:t>
      </w:r>
      <w:r w:rsidR="00B76C9A">
        <w:rPr>
          <w:rFonts w:ascii="Century Gothic" w:hAnsi="Century Gothic" w:cs="Arial"/>
        </w:rPr>
        <w:t xml:space="preserve">and </w:t>
      </w:r>
      <w:r w:rsidR="00862066">
        <w:rPr>
          <w:rFonts w:ascii="Century Gothic" w:hAnsi="Century Gothic" w:cs="Arial"/>
        </w:rPr>
        <w:t>A</w:t>
      </w:r>
      <w:r w:rsidR="00B76C9A">
        <w:rPr>
          <w:rFonts w:ascii="Century Gothic" w:hAnsi="Century Gothic" w:cs="Arial"/>
        </w:rPr>
        <w:t xml:space="preserve">uthorization form </w:t>
      </w:r>
      <w:r>
        <w:rPr>
          <w:rFonts w:ascii="Century Gothic" w:hAnsi="Century Gothic" w:cs="Arial"/>
        </w:rPr>
        <w:t>to Local Assistance</w:t>
      </w:r>
    </w:p>
    <w:p w14:paraId="2B0E9720" w14:textId="4633BBD5" w:rsidR="00215901" w:rsidRPr="00215901" w:rsidRDefault="00CD5F35" w:rsidP="00215901">
      <w:pPr>
        <w:pStyle w:val="ListParagraph"/>
        <w:numPr>
          <w:ilvl w:val="0"/>
          <w:numId w:val="10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Authorization is approved by FHWA</w:t>
      </w:r>
    </w:p>
    <w:bookmarkEnd w:id="4"/>
    <w:p w14:paraId="36CB87D8" w14:textId="239D2BE7" w:rsidR="00EE5D93" w:rsidRDefault="00EE5D93" w:rsidP="00E042C3">
      <w:pPr>
        <w:rPr>
          <w:rFonts w:ascii="Century Gothic" w:hAnsi="Century Gothic" w:cs="Arial"/>
          <w:sz w:val="24"/>
          <w:szCs w:val="24"/>
        </w:rPr>
      </w:pPr>
    </w:p>
    <w:p w14:paraId="5FAA00BA" w14:textId="2D14DD90" w:rsidR="00FD21F3" w:rsidRDefault="0049605F" w:rsidP="00E042C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Clarify when can CRRSAA – funds be used.  </w:t>
      </w:r>
    </w:p>
    <w:p w14:paraId="7F53772C" w14:textId="77777777" w:rsidR="0049605F" w:rsidRPr="00296E94" w:rsidRDefault="0049605F" w:rsidP="00E042C3">
      <w:pPr>
        <w:rPr>
          <w:rFonts w:ascii="Century Gothic" w:hAnsi="Century Gothic" w:cs="Arial"/>
          <w:sz w:val="24"/>
          <w:szCs w:val="24"/>
        </w:rPr>
      </w:pPr>
    </w:p>
    <w:p w14:paraId="1784468C" w14:textId="77777777" w:rsidR="00296E94" w:rsidRPr="00D02505" w:rsidRDefault="00296E94" w:rsidP="00296E94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02505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State Exchange: </w:t>
      </w:r>
    </w:p>
    <w:p w14:paraId="42733891" w14:textId="0762FA28" w:rsidR="00296E94" w:rsidRDefault="0076499D" w:rsidP="00296E94">
      <w:pPr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</w:t>
      </w:r>
      <w:r w:rsidR="00296E94">
        <w:rPr>
          <w:rFonts w:ascii="Century Gothic" w:hAnsi="Century Gothic" w:cs="Arial"/>
          <w:sz w:val="24"/>
          <w:szCs w:val="24"/>
        </w:rPr>
        <w:t>ural and small urbanized areas with a population of less than 200k</w:t>
      </w:r>
      <w:r w:rsidR="008B4459">
        <w:rPr>
          <w:rFonts w:ascii="Century Gothic" w:hAnsi="Century Gothic" w:cs="Arial"/>
          <w:sz w:val="24"/>
          <w:szCs w:val="24"/>
        </w:rPr>
        <w:t xml:space="preserve"> </w:t>
      </w:r>
      <w:r w:rsidR="00296E94">
        <w:rPr>
          <w:rFonts w:ascii="Century Gothic" w:hAnsi="Century Gothic" w:cs="Arial"/>
          <w:sz w:val="24"/>
          <w:szCs w:val="24"/>
        </w:rPr>
        <w:t xml:space="preserve">may request state exchange.   </w:t>
      </w:r>
      <w:r>
        <w:rPr>
          <w:rFonts w:ascii="Century Gothic" w:hAnsi="Century Gothic" w:cs="Arial"/>
          <w:sz w:val="24"/>
          <w:szCs w:val="24"/>
        </w:rPr>
        <w:t xml:space="preserve">These areas </w:t>
      </w:r>
      <w:r w:rsidR="00296E94">
        <w:rPr>
          <w:rFonts w:ascii="Century Gothic" w:hAnsi="Century Gothic" w:cs="Arial"/>
          <w:sz w:val="24"/>
          <w:szCs w:val="24"/>
        </w:rPr>
        <w:t xml:space="preserve">need to estimate their total State Only Funds (SOF) in </w:t>
      </w:r>
      <w:r w:rsidR="00296E94" w:rsidRPr="002B5523">
        <w:rPr>
          <w:rFonts w:ascii="Century Gothic" w:hAnsi="Century Gothic" w:cs="Arial"/>
          <w:sz w:val="24"/>
          <w:szCs w:val="24"/>
        </w:rPr>
        <w:t xml:space="preserve">advance and </w:t>
      </w:r>
      <w:r w:rsidR="00005674" w:rsidRPr="002B5523">
        <w:rPr>
          <w:rFonts w:ascii="Century Gothic" w:hAnsi="Century Gothic" w:cs="Arial"/>
          <w:sz w:val="24"/>
          <w:szCs w:val="24"/>
        </w:rPr>
        <w:t xml:space="preserve">the Regions </w:t>
      </w:r>
      <w:r w:rsidR="00296E94" w:rsidRPr="002B5523">
        <w:rPr>
          <w:rFonts w:ascii="Century Gothic" w:hAnsi="Century Gothic" w:cs="Arial"/>
          <w:sz w:val="24"/>
          <w:szCs w:val="24"/>
        </w:rPr>
        <w:t>request</w:t>
      </w:r>
      <w:r w:rsidR="00296E94">
        <w:rPr>
          <w:rFonts w:ascii="Century Gothic" w:hAnsi="Century Gothic" w:cs="Arial"/>
          <w:sz w:val="24"/>
          <w:szCs w:val="24"/>
        </w:rPr>
        <w:t xml:space="preserve"> a one-time exchange as soon as possible but not later than June 2022.</w:t>
      </w:r>
      <w:r w:rsidR="00317846">
        <w:rPr>
          <w:rFonts w:ascii="Century Gothic" w:hAnsi="Century Gothic" w:cs="Arial"/>
          <w:sz w:val="24"/>
          <w:szCs w:val="24"/>
        </w:rPr>
        <w:t xml:space="preserve"> </w:t>
      </w:r>
    </w:p>
    <w:p w14:paraId="1AD3D405" w14:textId="77777777" w:rsidR="00296E94" w:rsidRDefault="00296E94" w:rsidP="00296E94">
      <w:pPr>
        <w:rPr>
          <w:rFonts w:ascii="Century Gothic" w:hAnsi="Century Gothic" w:cs="Arial"/>
          <w:sz w:val="24"/>
          <w:szCs w:val="24"/>
        </w:rPr>
      </w:pPr>
    </w:p>
    <w:p w14:paraId="28FB0D7D" w14:textId="0AA7FF0F" w:rsidR="00005674" w:rsidRDefault="00296E94" w:rsidP="00296E94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  <w:r w:rsidRPr="00296E94">
        <w:rPr>
          <w:rFonts w:ascii="Century Gothic" w:hAnsi="Century Gothic" w:cs="Arial"/>
          <w:sz w:val="24"/>
          <w:szCs w:val="24"/>
        </w:rPr>
        <w:t xml:space="preserve">Urbanized areas with a population of 200,000 or greater, as identified in the Federal Highway Administration </w:t>
      </w:r>
      <w:r w:rsidR="00005674" w:rsidRPr="00296E94">
        <w:rPr>
          <w:rFonts w:ascii="Century Gothic" w:hAnsi="Century Gothic" w:cs="Arial"/>
          <w:sz w:val="24"/>
          <w:szCs w:val="24"/>
        </w:rPr>
        <w:t>apportio</w:t>
      </w:r>
      <w:r w:rsidR="00005674">
        <w:rPr>
          <w:rFonts w:ascii="Century Gothic" w:hAnsi="Century Gothic" w:cs="Arial"/>
          <w:sz w:val="24"/>
          <w:szCs w:val="24"/>
        </w:rPr>
        <w:t>n</w:t>
      </w:r>
      <w:r w:rsidR="00005674" w:rsidRPr="00296E94">
        <w:rPr>
          <w:rFonts w:ascii="Century Gothic" w:hAnsi="Century Gothic" w:cs="Arial"/>
          <w:sz w:val="24"/>
          <w:szCs w:val="24"/>
        </w:rPr>
        <w:t>ment</w:t>
      </w:r>
      <w:r w:rsidRPr="00296E94">
        <w:rPr>
          <w:rFonts w:ascii="Century Gothic" w:hAnsi="Century Gothic" w:cs="Arial"/>
          <w:sz w:val="24"/>
          <w:szCs w:val="24"/>
        </w:rPr>
        <w:t xml:space="preserve"> notice dated January 15, 2021, are not eligible for state exchange.</w:t>
      </w:r>
      <w:r>
        <w:rPr>
          <w:rFonts w:ascii="Century Gothic" w:hAnsi="Century Gothic" w:cs="Arial"/>
          <w:sz w:val="24"/>
          <w:szCs w:val="24"/>
        </w:rPr>
        <w:t xml:space="preserve">  </w:t>
      </w:r>
      <w:r w:rsidR="001720F4">
        <w:rPr>
          <w:rFonts w:ascii="Century Gothic" w:hAnsi="Century Gothic" w:cs="Arial"/>
          <w:sz w:val="24"/>
          <w:szCs w:val="24"/>
        </w:rPr>
        <w:t xml:space="preserve">However, </w:t>
      </w:r>
      <w:r>
        <w:rPr>
          <w:rFonts w:ascii="Century Gothic" w:hAnsi="Century Gothic" w:cs="Arial"/>
          <w:sz w:val="24"/>
          <w:szCs w:val="24"/>
        </w:rPr>
        <w:t xml:space="preserve">SOF requests for </w:t>
      </w:r>
      <w:r w:rsidR="00005674">
        <w:rPr>
          <w:rFonts w:ascii="Century Gothic" w:hAnsi="Century Gothic" w:cs="Arial"/>
          <w:sz w:val="24"/>
          <w:szCs w:val="24"/>
        </w:rPr>
        <w:t>projects in these areas</w:t>
      </w:r>
      <w:r>
        <w:rPr>
          <w:rFonts w:ascii="Century Gothic" w:hAnsi="Century Gothic" w:cs="Arial"/>
          <w:sz w:val="24"/>
          <w:szCs w:val="24"/>
        </w:rPr>
        <w:t xml:space="preserve"> will be processed on a case by case basis</w:t>
      </w:r>
      <w:r w:rsidR="00005674">
        <w:rPr>
          <w:rFonts w:ascii="Century Gothic" w:hAnsi="Century Gothic" w:cs="Arial"/>
          <w:sz w:val="24"/>
          <w:szCs w:val="24"/>
        </w:rPr>
        <w:t xml:space="preserve">.  Local Assistance in coordination with the Division of Budgets will make the determination as to whether the State can approve these requests. </w:t>
      </w:r>
    </w:p>
    <w:p w14:paraId="6B1C3CB0" w14:textId="77777777" w:rsidR="00005674" w:rsidRDefault="00005674" w:rsidP="008B4459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</w:p>
    <w:p w14:paraId="529A0DAA" w14:textId="3BA2AEE4" w:rsidR="00296E94" w:rsidRDefault="00296E94" w:rsidP="008B4459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All other a</w:t>
      </w:r>
      <w:r w:rsidRPr="00296E94">
        <w:rPr>
          <w:rFonts w:ascii="Century Gothic" w:hAnsi="Century Gothic" w:cs="Arial"/>
          <w:sz w:val="24"/>
          <w:szCs w:val="24"/>
        </w:rPr>
        <w:t>llocation process</w:t>
      </w:r>
      <w:r>
        <w:rPr>
          <w:rFonts w:ascii="Century Gothic" w:hAnsi="Century Gothic" w:cs="Arial"/>
          <w:sz w:val="24"/>
          <w:szCs w:val="24"/>
        </w:rPr>
        <w:t>es</w:t>
      </w:r>
      <w:r w:rsidRPr="00296E94">
        <w:rPr>
          <w:rFonts w:ascii="Century Gothic" w:hAnsi="Century Gothic" w:cs="Arial"/>
          <w:sz w:val="24"/>
          <w:szCs w:val="24"/>
        </w:rPr>
        <w:t xml:space="preserve">, reporting requirements, and other requirements of </w:t>
      </w:r>
      <w:r>
        <w:rPr>
          <w:rFonts w:ascii="Century Gothic" w:hAnsi="Century Gothic" w:cs="Arial"/>
          <w:sz w:val="24"/>
          <w:szCs w:val="24"/>
        </w:rPr>
        <w:t>the</w:t>
      </w:r>
      <w:r w:rsidRPr="00296E94">
        <w:rPr>
          <w:rFonts w:ascii="Century Gothic" w:hAnsi="Century Gothic" w:cs="Arial"/>
          <w:sz w:val="24"/>
          <w:szCs w:val="24"/>
        </w:rPr>
        <w:t xml:space="preserve"> guidelines </w:t>
      </w:r>
      <w:r w:rsidRPr="002B5523">
        <w:rPr>
          <w:rFonts w:ascii="Century Gothic" w:hAnsi="Century Gothic" w:cs="Arial"/>
          <w:sz w:val="24"/>
          <w:szCs w:val="24"/>
        </w:rPr>
        <w:t>shall apply to all agencies receiving</w:t>
      </w:r>
      <w:r w:rsidRPr="00296E94">
        <w:rPr>
          <w:rFonts w:ascii="Century Gothic" w:hAnsi="Century Gothic" w:cs="Arial"/>
          <w:sz w:val="24"/>
          <w:szCs w:val="24"/>
        </w:rPr>
        <w:t xml:space="preserve"> state funds in lieu of the federal funds. </w:t>
      </w:r>
      <w:r w:rsidRPr="00300C45">
        <w:rPr>
          <w:rFonts w:ascii="Century Gothic" w:hAnsi="Century Gothic" w:cs="Arial"/>
          <w:sz w:val="24"/>
          <w:szCs w:val="24"/>
        </w:rPr>
        <w:t>Projects funded with state-only funds are subject to Article 19 restrictions.</w:t>
      </w:r>
    </w:p>
    <w:p w14:paraId="2393186C" w14:textId="68E64FDE" w:rsidR="006E2207" w:rsidRDefault="006E2207" w:rsidP="00E042C3">
      <w:pPr>
        <w:rPr>
          <w:rFonts w:ascii="Century Gothic" w:hAnsi="Century Gothic" w:cs="Arial"/>
          <w:sz w:val="24"/>
          <w:szCs w:val="24"/>
        </w:rPr>
      </w:pPr>
    </w:p>
    <w:p w14:paraId="70D6102A" w14:textId="1CA38AC8" w:rsidR="006E2207" w:rsidRPr="006E2207" w:rsidRDefault="006E2207" w:rsidP="006E2207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6E2207">
        <w:rPr>
          <w:rFonts w:ascii="Century Gothic" w:hAnsi="Century Gothic" w:cs="Arial"/>
          <w:b/>
          <w:bCs/>
          <w:sz w:val="24"/>
          <w:szCs w:val="24"/>
          <w:u w:val="single"/>
        </w:rPr>
        <w:t>Match Allowances</w:t>
      </w:r>
    </w:p>
    <w:p w14:paraId="5F370B6D" w14:textId="5BED9D9B" w:rsidR="006E2207" w:rsidRPr="006E2207" w:rsidRDefault="006E2207" w:rsidP="006E2207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  <w:r w:rsidRPr="006E2207">
        <w:rPr>
          <w:rFonts w:ascii="Century Gothic" w:hAnsi="Century Gothic" w:cs="Arial"/>
          <w:sz w:val="24"/>
          <w:szCs w:val="24"/>
        </w:rPr>
        <w:t>No matching funds are required for CRRSAA funds.  CRRSAA funds can be used for match if they are converted to SOF.</w:t>
      </w:r>
    </w:p>
    <w:p w14:paraId="6F803525" w14:textId="77777777" w:rsidR="00661226" w:rsidRDefault="00661226" w:rsidP="006E2207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</w:p>
    <w:p w14:paraId="7E316328" w14:textId="77777777" w:rsidR="00B76C9A" w:rsidRPr="00B76C9A" w:rsidRDefault="00B76C9A" w:rsidP="00B76C9A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B76C9A">
        <w:rPr>
          <w:rFonts w:ascii="Century Gothic" w:hAnsi="Century Gothic" w:cs="Arial"/>
          <w:b/>
          <w:bCs/>
          <w:sz w:val="24"/>
          <w:szCs w:val="24"/>
          <w:u w:val="single"/>
        </w:rPr>
        <w:t>Reimbursement Rate</w:t>
      </w:r>
    </w:p>
    <w:p w14:paraId="3B3B2FA1" w14:textId="4CC0C613" w:rsidR="00A43ED0" w:rsidRDefault="00B76C9A" w:rsidP="006E2207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  <w:r w:rsidRPr="00B76C9A">
        <w:rPr>
          <w:rFonts w:ascii="Century Gothic" w:hAnsi="Century Gothic" w:cs="Arial"/>
          <w:sz w:val="24"/>
          <w:szCs w:val="24"/>
        </w:rPr>
        <w:t>CRRSAA Funds are utilize a 1</w:t>
      </w:r>
      <w:r w:rsidR="006E2207" w:rsidRPr="00B76C9A">
        <w:rPr>
          <w:rFonts w:ascii="Century Gothic" w:hAnsi="Century Gothic" w:cs="Arial"/>
          <w:sz w:val="24"/>
          <w:szCs w:val="24"/>
        </w:rPr>
        <w:t>00% Reimbursement rate.</w:t>
      </w:r>
      <w:r w:rsidR="00661226" w:rsidRPr="00B76C9A">
        <w:rPr>
          <w:rFonts w:ascii="Century Gothic" w:hAnsi="Century Gothic" w:cs="Arial"/>
          <w:sz w:val="24"/>
          <w:szCs w:val="24"/>
        </w:rPr>
        <w:t xml:space="preserve">  If used as match</w:t>
      </w:r>
      <w:r w:rsidRPr="00B76C9A">
        <w:rPr>
          <w:rFonts w:ascii="Century Gothic" w:hAnsi="Century Gothic" w:cs="Arial"/>
          <w:sz w:val="24"/>
          <w:szCs w:val="24"/>
        </w:rPr>
        <w:t xml:space="preserve">, funds need to be SOF (see requirements).  </w:t>
      </w:r>
    </w:p>
    <w:p w14:paraId="1A7B9C2C" w14:textId="28357571" w:rsidR="00780774" w:rsidRDefault="00780774" w:rsidP="006E2207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</w:p>
    <w:p w14:paraId="25E74B64" w14:textId="3543FEEA" w:rsidR="00FA0EAD" w:rsidRDefault="00FA0EAD" w:rsidP="006E2207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</w:p>
    <w:p w14:paraId="0C972AB5" w14:textId="77777777" w:rsidR="00FA0EAD" w:rsidRDefault="00FA0EAD" w:rsidP="006E2207">
      <w:pPr>
        <w:widowControl w:val="0"/>
        <w:tabs>
          <w:tab w:val="left" w:pos="499"/>
          <w:tab w:val="left" w:pos="500"/>
        </w:tabs>
        <w:autoSpaceDE w:val="0"/>
        <w:autoSpaceDN w:val="0"/>
        <w:ind w:right="172"/>
        <w:rPr>
          <w:rFonts w:ascii="Century Gothic" w:hAnsi="Century Gothic" w:cs="Arial"/>
          <w:sz w:val="24"/>
          <w:szCs w:val="24"/>
        </w:rPr>
      </w:pPr>
    </w:p>
    <w:p w14:paraId="714F2D69" w14:textId="17EAC82C" w:rsidR="00AB7D16" w:rsidRPr="00AB7D16" w:rsidRDefault="00AB7D16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AB7D16">
        <w:rPr>
          <w:rFonts w:ascii="Century Gothic" w:hAnsi="Century Gothic" w:cs="Arial"/>
          <w:b/>
          <w:bCs/>
          <w:sz w:val="24"/>
          <w:szCs w:val="24"/>
          <w:u w:val="single"/>
        </w:rPr>
        <w:lastRenderedPageBreak/>
        <w:t>F</w:t>
      </w:r>
      <w:r w:rsidR="00FD21F3">
        <w:rPr>
          <w:rFonts w:ascii="Century Gothic" w:hAnsi="Century Gothic" w:cs="Arial"/>
          <w:b/>
          <w:bCs/>
          <w:sz w:val="24"/>
          <w:szCs w:val="24"/>
          <w:u w:val="single"/>
        </w:rPr>
        <w:t>S</w:t>
      </w:r>
      <w:r w:rsidRPr="00AB7D16">
        <w:rPr>
          <w:rFonts w:ascii="Century Gothic" w:hAnsi="Century Gothic" w:cs="Arial"/>
          <w:b/>
          <w:bCs/>
          <w:sz w:val="24"/>
          <w:szCs w:val="24"/>
          <w:u w:val="single"/>
        </w:rPr>
        <w:t>TIP</w:t>
      </w:r>
    </w:p>
    <w:p w14:paraId="64ACC6C3" w14:textId="77777777" w:rsidR="00AB7D16" w:rsidRPr="00AB7D16" w:rsidRDefault="00AB7D16" w:rsidP="00AB7D1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3520553" w14:textId="1E4E111C" w:rsidR="00AB7D16" w:rsidRDefault="00AB7D16" w:rsidP="00A43ED0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 w:rsidRPr="00A43ED0">
        <w:rPr>
          <w:rFonts w:ascii="Century Gothic" w:hAnsi="Century Gothic" w:cs="Arial"/>
        </w:rPr>
        <w:t xml:space="preserve">Projects receiving funding from the CRRSAA Program must be programmed in the Federal Statewide Transportation Improvement Program, if required to do so under the Act. </w:t>
      </w:r>
    </w:p>
    <w:p w14:paraId="33F33138" w14:textId="33369BB1" w:rsidR="00FA0EAD" w:rsidRPr="00A43ED0" w:rsidRDefault="00FA0EAD" w:rsidP="00A43ED0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SOF Projects will not be in the FSTIP</w:t>
      </w:r>
    </w:p>
    <w:p w14:paraId="5C9A2939" w14:textId="77777777" w:rsidR="00661226" w:rsidRDefault="00661226" w:rsidP="00E042C3">
      <w:pPr>
        <w:rPr>
          <w:rFonts w:ascii="Century Gothic" w:hAnsi="Century Gothic" w:cs="Arial"/>
          <w:sz w:val="24"/>
          <w:szCs w:val="24"/>
        </w:rPr>
      </w:pPr>
    </w:p>
    <w:p w14:paraId="58F4BBB9" w14:textId="65CBE7B7" w:rsidR="00AB7D16" w:rsidRPr="00A43ED0" w:rsidRDefault="008617AF" w:rsidP="00A43ED0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8617AF">
        <w:rPr>
          <w:rFonts w:ascii="Century Gothic" w:hAnsi="Century Gothic" w:cs="Arial"/>
          <w:b/>
          <w:bCs/>
          <w:sz w:val="24"/>
          <w:szCs w:val="24"/>
          <w:u w:val="single"/>
        </w:rPr>
        <w:t>Fund Deadlines</w:t>
      </w:r>
    </w:p>
    <w:p w14:paraId="046F9C37" w14:textId="77777777" w:rsidR="00AB7D16" w:rsidRDefault="00AB7D16" w:rsidP="00AB7D1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1534B90" w14:textId="19671417" w:rsidR="00AB7D16" w:rsidRPr="00300C45" w:rsidRDefault="00AB7D16" w:rsidP="00300C4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entury Gothic" w:hAnsi="Century Gothic" w:cs="Arial"/>
        </w:rPr>
      </w:pPr>
      <w:r w:rsidRPr="00300C45">
        <w:rPr>
          <w:rFonts w:ascii="Century Gothic" w:hAnsi="Century Gothic" w:cs="Arial"/>
        </w:rPr>
        <w:t>Project List amendments will not be considered after the October 2023 CTC Meeting.</w:t>
      </w:r>
      <w:r w:rsidR="00300C45">
        <w:rPr>
          <w:rFonts w:ascii="Century Gothic" w:hAnsi="Century Gothic" w:cs="Arial"/>
        </w:rPr>
        <w:t xml:space="preserve">  </w:t>
      </w:r>
      <w:r w:rsidRPr="00300C45">
        <w:rPr>
          <w:rFonts w:ascii="Century Gothic" w:hAnsi="Century Gothic" w:cs="Arial"/>
          <w:i/>
          <w:iCs/>
          <w:sz w:val="20"/>
          <w:szCs w:val="20"/>
        </w:rPr>
        <w:t xml:space="preserve">(This will allow the state, in coordination with the regions, a year to obligate and repurpose the funds so that all COVID Relief funds are utilized.) </w:t>
      </w:r>
    </w:p>
    <w:p w14:paraId="3FD27B14" w14:textId="29C58F2C" w:rsidR="00AB7D16" w:rsidRPr="00300C45" w:rsidRDefault="00AB7D16" w:rsidP="00AB7D1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entury Gothic" w:hAnsi="Century Gothic" w:cs="Arial"/>
        </w:rPr>
      </w:pPr>
      <w:r w:rsidRPr="00300C45">
        <w:rPr>
          <w:rFonts w:ascii="Century Gothic" w:hAnsi="Century Gothic" w:cs="Arial"/>
        </w:rPr>
        <w:t xml:space="preserve">Any </w:t>
      </w:r>
      <w:r w:rsidR="002B5523" w:rsidRPr="00300C45">
        <w:rPr>
          <w:rFonts w:ascii="Century Gothic" w:hAnsi="Century Gothic" w:cs="Arial"/>
        </w:rPr>
        <w:t>R</w:t>
      </w:r>
      <w:r w:rsidRPr="00300C45">
        <w:rPr>
          <w:rFonts w:ascii="Century Gothic" w:hAnsi="Century Gothic" w:cs="Arial"/>
        </w:rPr>
        <w:t xml:space="preserve">egional funds not obligated by June 2024 will be transferred to the state for obligation. </w:t>
      </w:r>
    </w:p>
    <w:p w14:paraId="59BC6D96" w14:textId="12367266" w:rsidR="00900783" w:rsidRPr="0059054D" w:rsidRDefault="00A43ED0" w:rsidP="00E042C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entury Gothic" w:hAnsi="Century Gothic" w:cs="Arial"/>
        </w:rPr>
      </w:pPr>
      <w:r w:rsidRPr="00300C45">
        <w:rPr>
          <w:rFonts w:ascii="Century Gothic" w:hAnsi="Century Gothic" w:cs="Arial"/>
        </w:rPr>
        <w:t xml:space="preserve">The </w:t>
      </w:r>
      <w:r w:rsidR="00862066">
        <w:rPr>
          <w:rFonts w:ascii="Century Gothic" w:hAnsi="Century Gothic" w:cs="Arial"/>
        </w:rPr>
        <w:t xml:space="preserve">final </w:t>
      </w:r>
      <w:r w:rsidRPr="00300C45">
        <w:rPr>
          <w:rFonts w:ascii="Century Gothic" w:hAnsi="Century Gothic" w:cs="Arial"/>
        </w:rPr>
        <w:t xml:space="preserve">deadline to obligate CRRSAA funding is September 2024.  </w:t>
      </w:r>
    </w:p>
    <w:p w14:paraId="2A2F6C04" w14:textId="7D54A2C8" w:rsidR="0059054D" w:rsidRDefault="00D9401D" w:rsidP="00E042C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.</w:t>
      </w:r>
    </w:p>
    <w:p w14:paraId="32F5DE79" w14:textId="4D35BEE5" w:rsidR="00D9401D" w:rsidRPr="00D9401D" w:rsidRDefault="00D9401D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9401D">
        <w:rPr>
          <w:rFonts w:ascii="Century Gothic" w:hAnsi="Century Gothic" w:cs="Arial"/>
          <w:b/>
          <w:bCs/>
          <w:sz w:val="24"/>
          <w:szCs w:val="24"/>
          <w:u w:val="single"/>
        </w:rPr>
        <w:t>FTA Transfers</w:t>
      </w:r>
    </w:p>
    <w:p w14:paraId="19366E89" w14:textId="7009821D" w:rsidR="00900783" w:rsidRDefault="00D9401D" w:rsidP="00D9401D">
      <w:pPr>
        <w:pStyle w:val="ListParagraph"/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FWHA guidance allows fund transfers for projects more suitably administered by another Federal agency, including flex funding transfers to the FTA.</w:t>
      </w:r>
    </w:p>
    <w:p w14:paraId="5715612A" w14:textId="77777777" w:rsidR="006E2207" w:rsidRDefault="006E2207" w:rsidP="00E042C3">
      <w:pPr>
        <w:rPr>
          <w:rFonts w:ascii="Century Gothic" w:hAnsi="Century Gothic" w:cs="Arial"/>
          <w:sz w:val="24"/>
          <w:szCs w:val="24"/>
        </w:rPr>
      </w:pPr>
    </w:p>
    <w:p w14:paraId="63BAD44B" w14:textId="7B4E80FA" w:rsidR="003834EB" w:rsidRDefault="003834EB" w:rsidP="003834EB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bookmarkStart w:id="5" w:name="_Hlk71786528"/>
      <w:r w:rsidRPr="003834EB">
        <w:rPr>
          <w:rFonts w:ascii="Century Gothic" w:hAnsi="Century Gothic" w:cs="Arial"/>
          <w:b/>
          <w:bCs/>
          <w:sz w:val="24"/>
          <w:szCs w:val="24"/>
          <w:u w:val="single"/>
        </w:rPr>
        <w:t>Federal Fund Codes:</w:t>
      </w:r>
    </w:p>
    <w:p w14:paraId="0DB6E33F" w14:textId="34E1E17F" w:rsidR="00FA0EAD" w:rsidRPr="00C67BAB" w:rsidRDefault="00FA0EAD" w:rsidP="003834EB">
      <w:pPr>
        <w:rPr>
          <w:rFonts w:ascii="Century Gothic" w:hAnsi="Century Gothic" w:cs="Arial"/>
        </w:rPr>
      </w:pPr>
      <w:r w:rsidRPr="00C67BAB">
        <w:rPr>
          <w:rFonts w:ascii="Century Gothic" w:hAnsi="Century Gothic" w:cs="Arial"/>
          <w:highlight w:val="green"/>
        </w:rPr>
        <w:t>ANY AREA</w:t>
      </w:r>
    </w:p>
    <w:p w14:paraId="116F317E" w14:textId="77777777" w:rsidR="003834EB" w:rsidRPr="00FA0EAD" w:rsidRDefault="003834EB" w:rsidP="003834EB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  <w:b/>
          <w:bCs/>
        </w:rPr>
        <w:t xml:space="preserve">Z970 </w:t>
      </w:r>
      <w:r w:rsidRPr="003834EB">
        <w:rPr>
          <w:rFonts w:ascii="Century Gothic" w:hAnsi="Century Gothic" w:cs="Arial"/>
        </w:rPr>
        <w:t xml:space="preserve">COVID Supplemental 23 USC 133(b) </w:t>
      </w:r>
      <w:r w:rsidRPr="00FA0EAD">
        <w:rPr>
          <w:rFonts w:ascii="Century Gothic" w:hAnsi="Century Gothic" w:cs="Arial"/>
        </w:rPr>
        <w:t>within any area of CA</w:t>
      </w:r>
    </w:p>
    <w:p w14:paraId="71CA65FE" w14:textId="77777777" w:rsidR="003834EB" w:rsidRPr="00FA0EAD" w:rsidRDefault="003834EB" w:rsidP="003834EB">
      <w:pPr>
        <w:pStyle w:val="ListParagraph"/>
        <w:numPr>
          <w:ilvl w:val="1"/>
          <w:numId w:val="17"/>
        </w:numPr>
        <w:rPr>
          <w:rFonts w:ascii="Century Gothic" w:hAnsi="Century Gothic" w:cs="Arial"/>
        </w:rPr>
      </w:pPr>
      <w:r w:rsidRPr="00FA0EAD">
        <w:rPr>
          <w:rFonts w:ascii="Century Gothic" w:hAnsi="Century Gothic" w:cs="Arial"/>
        </w:rPr>
        <w:t>Activities eligible under section 133(b)</w:t>
      </w:r>
    </w:p>
    <w:p w14:paraId="7CB7BC74" w14:textId="77777777" w:rsidR="003834EB" w:rsidRPr="00FA0EAD" w:rsidRDefault="003834EB" w:rsidP="003834EB">
      <w:pPr>
        <w:pStyle w:val="ListParagraph"/>
        <w:ind w:left="2160"/>
        <w:rPr>
          <w:rFonts w:ascii="Century Gothic" w:hAnsi="Century Gothic" w:cs="Arial"/>
        </w:rPr>
      </w:pPr>
    </w:p>
    <w:p w14:paraId="2FC59FA9" w14:textId="77777777" w:rsidR="003834EB" w:rsidRPr="00FA0EAD" w:rsidRDefault="003834EB" w:rsidP="003834EB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A0EAD">
        <w:rPr>
          <w:rFonts w:ascii="Century Gothic" w:hAnsi="Century Gothic" w:cs="Arial"/>
          <w:b/>
          <w:bCs/>
        </w:rPr>
        <w:t>Z971</w:t>
      </w:r>
      <w:r w:rsidRPr="00FA0EAD">
        <w:rPr>
          <w:rFonts w:ascii="Century Gothic" w:hAnsi="Century Gothic" w:cs="Arial"/>
        </w:rPr>
        <w:t xml:space="preserve"> COVID Special eligibilities within any area of CA</w:t>
      </w:r>
    </w:p>
    <w:p w14:paraId="4B8AD110" w14:textId="77777777" w:rsidR="003834EB" w:rsidRPr="00FA0EAD" w:rsidRDefault="003834EB" w:rsidP="003834EB">
      <w:pPr>
        <w:pStyle w:val="ListParagraph"/>
        <w:numPr>
          <w:ilvl w:val="1"/>
          <w:numId w:val="17"/>
        </w:numPr>
        <w:rPr>
          <w:rFonts w:ascii="Century Gothic" w:hAnsi="Century Gothic" w:cs="Arial"/>
        </w:rPr>
      </w:pPr>
      <w:r w:rsidRPr="00FA0EAD">
        <w:rPr>
          <w:rFonts w:ascii="Century Gothic" w:hAnsi="Century Gothic" w:cs="Arial"/>
        </w:rPr>
        <w:t>Costs related to:</w:t>
      </w:r>
    </w:p>
    <w:p w14:paraId="27833545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preventive maintenance</w:t>
      </w:r>
    </w:p>
    <w:p w14:paraId="6F9F6577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routine maintenance</w:t>
      </w:r>
    </w:p>
    <w:p w14:paraId="5104786C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operations</w:t>
      </w:r>
    </w:p>
    <w:p w14:paraId="338C9A2E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personnel, including salaries of employees (</w:t>
      </w:r>
      <w:r w:rsidRPr="003834EB">
        <w:rPr>
          <w:rFonts w:ascii="Century Gothic" w:hAnsi="Century Gothic" w:cs="Arial"/>
          <w:i/>
          <w:iCs/>
        </w:rPr>
        <w:t>including those employees who have been placed on administrative leave</w:t>
      </w:r>
      <w:r w:rsidRPr="003834EB">
        <w:rPr>
          <w:rFonts w:ascii="Century Gothic" w:hAnsi="Century Gothic" w:cs="Arial"/>
        </w:rPr>
        <w:t xml:space="preserve">) </w:t>
      </w:r>
    </w:p>
    <w:p w14:paraId="3403B379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contractors, </w:t>
      </w:r>
    </w:p>
    <w:p w14:paraId="0D08FDDB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debt service payments, </w:t>
      </w:r>
    </w:p>
    <w:p w14:paraId="2CFF6651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availability payments, and </w:t>
      </w:r>
    </w:p>
    <w:p w14:paraId="5D050E43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coverage for other revenue losses </w:t>
      </w:r>
    </w:p>
    <w:p w14:paraId="2600FC34" w14:textId="14F2E726" w:rsidR="003834EB" w:rsidRPr="00FA0EAD" w:rsidRDefault="00FA0EAD" w:rsidP="00FA0EAD">
      <w:pPr>
        <w:rPr>
          <w:rFonts w:ascii="Century Gothic" w:hAnsi="Century Gothic" w:cs="Arial"/>
        </w:rPr>
      </w:pPr>
      <w:r w:rsidRPr="00FA0EAD">
        <w:rPr>
          <w:rFonts w:ascii="Century Gothic" w:hAnsi="Century Gothic" w:cs="Arial"/>
          <w:highlight w:val="green"/>
        </w:rPr>
        <w:t>URBANIZED AREAS OVER 200K</w:t>
      </w:r>
    </w:p>
    <w:p w14:paraId="0ED824E5" w14:textId="77777777" w:rsidR="003834EB" w:rsidRPr="00FA0EAD" w:rsidRDefault="003834EB" w:rsidP="003834EB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  <w:b/>
          <w:bCs/>
        </w:rPr>
        <w:t>Z972</w:t>
      </w:r>
      <w:r w:rsidRPr="003834EB">
        <w:rPr>
          <w:rFonts w:ascii="Century Gothic" w:hAnsi="Century Gothic" w:cs="Arial"/>
        </w:rPr>
        <w:t xml:space="preserve"> COVID Supplemental 23 </w:t>
      </w:r>
      <w:r w:rsidRPr="00FA0EAD">
        <w:rPr>
          <w:rFonts w:ascii="Century Gothic" w:hAnsi="Century Gothic" w:cs="Arial"/>
        </w:rPr>
        <w:t>USC 133(b) in Urbanized Areas over 200k</w:t>
      </w:r>
    </w:p>
    <w:p w14:paraId="150C1C0B" w14:textId="77777777" w:rsidR="003834EB" w:rsidRPr="00FA0EAD" w:rsidRDefault="003834EB" w:rsidP="003834EB">
      <w:pPr>
        <w:pStyle w:val="ListParagraph"/>
        <w:numPr>
          <w:ilvl w:val="1"/>
          <w:numId w:val="17"/>
        </w:numPr>
        <w:rPr>
          <w:rFonts w:ascii="Century Gothic" w:hAnsi="Century Gothic" w:cs="Arial"/>
        </w:rPr>
      </w:pPr>
      <w:r w:rsidRPr="00FA0EAD">
        <w:rPr>
          <w:rFonts w:ascii="Century Gothic" w:hAnsi="Century Gothic" w:cs="Arial"/>
        </w:rPr>
        <w:t>Activities eligible under section 133(b)</w:t>
      </w:r>
    </w:p>
    <w:p w14:paraId="0C9C83FA" w14:textId="77777777" w:rsidR="003834EB" w:rsidRPr="00FA0EAD" w:rsidRDefault="003834EB" w:rsidP="003834EB">
      <w:pPr>
        <w:rPr>
          <w:rFonts w:ascii="Century Gothic" w:hAnsi="Century Gothic" w:cs="Arial"/>
        </w:rPr>
      </w:pPr>
    </w:p>
    <w:p w14:paraId="6B7FC737" w14:textId="77777777" w:rsidR="003834EB" w:rsidRPr="00FA0EAD" w:rsidRDefault="003834EB" w:rsidP="003834EB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A0EAD">
        <w:rPr>
          <w:rFonts w:ascii="Century Gothic" w:hAnsi="Century Gothic" w:cs="Arial"/>
          <w:b/>
          <w:bCs/>
        </w:rPr>
        <w:t>Z973</w:t>
      </w:r>
      <w:r w:rsidRPr="00FA0EAD">
        <w:rPr>
          <w:rFonts w:ascii="Century Gothic" w:hAnsi="Century Gothic" w:cs="Arial"/>
        </w:rPr>
        <w:t xml:space="preserve"> COVID Special eligibilities within Urbanized Areas over 200K</w:t>
      </w:r>
    </w:p>
    <w:p w14:paraId="200A6811" w14:textId="77777777" w:rsidR="003834EB" w:rsidRPr="00FA0EAD" w:rsidRDefault="003834EB" w:rsidP="003834EB">
      <w:pPr>
        <w:pStyle w:val="ListParagraph"/>
        <w:numPr>
          <w:ilvl w:val="1"/>
          <w:numId w:val="17"/>
        </w:numPr>
        <w:rPr>
          <w:rFonts w:ascii="Century Gothic" w:hAnsi="Century Gothic" w:cs="Arial"/>
        </w:rPr>
      </w:pPr>
      <w:r w:rsidRPr="00FA0EAD">
        <w:rPr>
          <w:rFonts w:ascii="Century Gothic" w:hAnsi="Century Gothic" w:cs="Arial"/>
        </w:rPr>
        <w:t>Costs related to:</w:t>
      </w:r>
    </w:p>
    <w:p w14:paraId="4A471AFC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preventive maintenance</w:t>
      </w:r>
    </w:p>
    <w:p w14:paraId="24E301FA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routine maintenance</w:t>
      </w:r>
    </w:p>
    <w:p w14:paraId="33CF91C9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lastRenderedPageBreak/>
        <w:t>operations</w:t>
      </w:r>
    </w:p>
    <w:p w14:paraId="3D18AE2D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>personnel, including salaries of employees (</w:t>
      </w:r>
      <w:r w:rsidRPr="003834EB">
        <w:rPr>
          <w:rFonts w:ascii="Century Gothic" w:hAnsi="Century Gothic" w:cs="Arial"/>
          <w:i/>
          <w:iCs/>
        </w:rPr>
        <w:t>including those employees who have been placed on administrative leave</w:t>
      </w:r>
      <w:r w:rsidRPr="003834EB">
        <w:rPr>
          <w:rFonts w:ascii="Century Gothic" w:hAnsi="Century Gothic" w:cs="Arial"/>
        </w:rPr>
        <w:t xml:space="preserve">) </w:t>
      </w:r>
    </w:p>
    <w:p w14:paraId="76DECC3C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contractors, </w:t>
      </w:r>
    </w:p>
    <w:p w14:paraId="5C4E1C78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debt service payments, </w:t>
      </w:r>
    </w:p>
    <w:p w14:paraId="3BA71F68" w14:textId="77777777" w:rsidR="003834EB" w:rsidRPr="003834EB" w:rsidRDefault="003834EB" w:rsidP="003834EB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availability payments, and </w:t>
      </w:r>
    </w:p>
    <w:p w14:paraId="74F102A7" w14:textId="65442BA6" w:rsidR="00DC787C" w:rsidRPr="003834EB" w:rsidRDefault="003834EB" w:rsidP="00E042C3">
      <w:pPr>
        <w:pStyle w:val="ListParagraph"/>
        <w:numPr>
          <w:ilvl w:val="2"/>
          <w:numId w:val="17"/>
        </w:numPr>
        <w:rPr>
          <w:rFonts w:ascii="Century Gothic" w:hAnsi="Century Gothic" w:cs="Arial"/>
        </w:rPr>
      </w:pPr>
      <w:r w:rsidRPr="003834EB">
        <w:rPr>
          <w:rFonts w:ascii="Century Gothic" w:hAnsi="Century Gothic" w:cs="Arial"/>
        </w:rPr>
        <w:t xml:space="preserve">coverage for other revenue losses </w:t>
      </w:r>
      <w:bookmarkEnd w:id="5"/>
    </w:p>
    <w:p w14:paraId="598E88A8" w14:textId="20DB95EE" w:rsidR="00DC787C" w:rsidRDefault="00DC787C" w:rsidP="00E042C3">
      <w:pPr>
        <w:rPr>
          <w:rFonts w:ascii="Century Gothic" w:hAnsi="Century Gothic" w:cs="Arial"/>
          <w:sz w:val="24"/>
          <w:szCs w:val="24"/>
        </w:rPr>
      </w:pPr>
    </w:p>
    <w:p w14:paraId="3E4FCAFB" w14:textId="77777777" w:rsidR="00FA0EAD" w:rsidRDefault="00FA0EAD" w:rsidP="00FA0EAD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6E2207">
        <w:rPr>
          <w:rFonts w:ascii="Century Gothic" w:hAnsi="Century Gothic" w:cs="Arial"/>
          <w:b/>
          <w:bCs/>
          <w:sz w:val="24"/>
          <w:szCs w:val="24"/>
          <w:u w:val="single"/>
        </w:rPr>
        <w:t>PECT Codes</w:t>
      </w:r>
    </w:p>
    <w:p w14:paraId="23138130" w14:textId="47A77967" w:rsidR="00FA0EAD" w:rsidRPr="00FA0EAD" w:rsidRDefault="00FA0EAD" w:rsidP="00E042C3">
      <w:pPr>
        <w:pStyle w:val="ListParagraph"/>
        <w:numPr>
          <w:ilvl w:val="0"/>
          <w:numId w:val="16"/>
        </w:numPr>
        <w:rPr>
          <w:rFonts w:ascii="Century Gothic" w:hAnsi="Century Gothic" w:cs="Arial"/>
          <w:u w:val="single"/>
        </w:rPr>
      </w:pPr>
      <w:r w:rsidRPr="003834EB">
        <w:rPr>
          <w:rFonts w:ascii="Century Gothic" w:hAnsi="Century Gothic" w:cs="Arial"/>
          <w:b/>
          <w:bCs/>
        </w:rPr>
        <w:t>20.30.010.816</w:t>
      </w:r>
      <w:r w:rsidRPr="003834EB">
        <w:rPr>
          <w:rFonts w:ascii="Century Gothic" w:hAnsi="Century Gothic" w:cs="Arial"/>
        </w:rPr>
        <w:t xml:space="preserve"> COVID Relief Funds for Highway Infrastructure Programs for </w:t>
      </w:r>
      <w:r w:rsidRPr="003834EB">
        <w:rPr>
          <w:rFonts w:ascii="Century Gothic" w:hAnsi="Century Gothic" w:cs="Arial"/>
          <w:u w:val="single"/>
        </w:rPr>
        <w:t>CRRSAA Funds</w:t>
      </w:r>
    </w:p>
    <w:p w14:paraId="16B7018C" w14:textId="77777777" w:rsidR="002D5410" w:rsidRDefault="002D5410" w:rsidP="00E042C3">
      <w:pPr>
        <w:rPr>
          <w:rFonts w:ascii="Century Gothic" w:hAnsi="Century Gothic" w:cs="Arial"/>
          <w:sz w:val="24"/>
          <w:szCs w:val="24"/>
        </w:rPr>
      </w:pPr>
    </w:p>
    <w:p w14:paraId="5C9C1327" w14:textId="77777777" w:rsidR="003834EB" w:rsidRPr="006E2207" w:rsidRDefault="003834EB" w:rsidP="003834EB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6E2207">
        <w:rPr>
          <w:rFonts w:ascii="Century Gothic" w:hAnsi="Century Gothic" w:cs="Arial"/>
          <w:b/>
          <w:bCs/>
          <w:sz w:val="24"/>
          <w:szCs w:val="24"/>
          <w:u w:val="single"/>
        </w:rPr>
        <w:t>General Notes</w:t>
      </w:r>
    </w:p>
    <w:p w14:paraId="6A97A884" w14:textId="77777777" w:rsidR="003834EB" w:rsidRPr="005F19ED" w:rsidRDefault="003834EB" w:rsidP="003834EB">
      <w:pPr>
        <w:rPr>
          <w:rFonts w:ascii="Century Gothic" w:hAnsi="Century Gothic" w:cs="Arial"/>
          <w:sz w:val="24"/>
          <w:szCs w:val="24"/>
          <w:u w:val="single"/>
        </w:rPr>
      </w:pPr>
      <w:r w:rsidRPr="005F19ED">
        <w:rPr>
          <w:rFonts w:ascii="Century Gothic" w:hAnsi="Century Gothic" w:cs="Arial"/>
          <w:sz w:val="24"/>
          <w:szCs w:val="24"/>
          <w:u w:val="single"/>
        </w:rPr>
        <w:t>LP2K</w:t>
      </w:r>
    </w:p>
    <w:p w14:paraId="2080CF32" w14:textId="1D6F42B8" w:rsidR="00DC787C" w:rsidRDefault="003834EB" w:rsidP="00E042C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Division of Financial Programming will be entering these projects into CTIPS.  Regions will need to update their TIPS.</w:t>
      </w:r>
    </w:p>
    <w:p w14:paraId="505F4DE1" w14:textId="77777777" w:rsidR="00370576" w:rsidRDefault="00370576" w:rsidP="00E042C3">
      <w:pPr>
        <w:rPr>
          <w:rFonts w:ascii="Century Gothic" w:hAnsi="Century Gothic" w:cs="Arial"/>
          <w:sz w:val="24"/>
          <w:szCs w:val="24"/>
        </w:rPr>
      </w:pPr>
    </w:p>
    <w:p w14:paraId="0B270C67" w14:textId="741390CD" w:rsidR="00370576" w:rsidRDefault="00370576" w:rsidP="00E042C3">
      <w:pPr>
        <w:rPr>
          <w:rFonts w:ascii="Century Gothic" w:hAnsi="Century Gothic" w:cs="Arial"/>
          <w:sz w:val="24"/>
          <w:szCs w:val="24"/>
        </w:rPr>
      </w:pPr>
    </w:p>
    <w:p w14:paraId="0038136F" w14:textId="08763DC7" w:rsidR="00DC787C" w:rsidRPr="00862066" w:rsidRDefault="00862066" w:rsidP="00E042C3">
      <w:pPr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862066">
        <w:rPr>
          <w:rFonts w:ascii="Century Gothic" w:hAnsi="Century Gothic" w:cs="Arial"/>
          <w:b/>
          <w:bCs/>
          <w:sz w:val="24"/>
          <w:szCs w:val="24"/>
          <w:u w:val="single"/>
        </w:rPr>
        <w:t>ePPR</w:t>
      </w:r>
    </w:p>
    <w:p w14:paraId="1106D0DF" w14:textId="5ED7BABB" w:rsidR="00862066" w:rsidRDefault="00862066" w:rsidP="00E042C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 step by step guidance document has been developed for CRRSAA ePPRs.  </w:t>
      </w:r>
    </w:p>
    <w:sectPr w:rsidR="00862066" w:rsidSect="00F22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3F59" w14:textId="77777777" w:rsidR="0001427F" w:rsidRDefault="0001427F" w:rsidP="00996DA8">
      <w:r>
        <w:separator/>
      </w:r>
    </w:p>
  </w:endnote>
  <w:endnote w:type="continuationSeparator" w:id="0">
    <w:p w14:paraId="1DFE76F0" w14:textId="77777777" w:rsidR="0001427F" w:rsidRDefault="0001427F" w:rsidP="0099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A4181" w14:textId="77777777" w:rsidR="00E81193" w:rsidRDefault="00E81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2691" w14:textId="77777777" w:rsidR="00E81193" w:rsidRDefault="00E81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4C946" w14:textId="77777777" w:rsidR="00E81193" w:rsidRDefault="00E81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D5DAC" w14:textId="77777777" w:rsidR="0001427F" w:rsidRDefault="0001427F" w:rsidP="00996DA8">
      <w:r>
        <w:separator/>
      </w:r>
    </w:p>
  </w:footnote>
  <w:footnote w:type="continuationSeparator" w:id="0">
    <w:p w14:paraId="63A9FD11" w14:textId="77777777" w:rsidR="0001427F" w:rsidRDefault="0001427F" w:rsidP="0099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070C" w14:textId="77777777" w:rsidR="00E81193" w:rsidRDefault="00E81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5E27" w14:textId="4C404051" w:rsidR="00E81193" w:rsidRDefault="00E81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4B96" w14:textId="77777777" w:rsidR="00E81193" w:rsidRDefault="00E81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5F16"/>
    <w:multiLevelType w:val="hybridMultilevel"/>
    <w:tmpl w:val="4F90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7FA"/>
    <w:multiLevelType w:val="hybridMultilevel"/>
    <w:tmpl w:val="E690E8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96472"/>
    <w:multiLevelType w:val="hybridMultilevel"/>
    <w:tmpl w:val="63FA0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C40"/>
    <w:multiLevelType w:val="hybridMultilevel"/>
    <w:tmpl w:val="CB9A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711"/>
    <w:multiLevelType w:val="hybridMultilevel"/>
    <w:tmpl w:val="8B469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66409"/>
    <w:multiLevelType w:val="hybridMultilevel"/>
    <w:tmpl w:val="FD6E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39EA"/>
    <w:multiLevelType w:val="hybridMultilevel"/>
    <w:tmpl w:val="144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0FC9"/>
    <w:multiLevelType w:val="hybridMultilevel"/>
    <w:tmpl w:val="97203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C6351"/>
    <w:multiLevelType w:val="hybridMultilevel"/>
    <w:tmpl w:val="D73A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093D"/>
    <w:multiLevelType w:val="hybridMultilevel"/>
    <w:tmpl w:val="4E3A6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51DA0"/>
    <w:multiLevelType w:val="hybridMultilevel"/>
    <w:tmpl w:val="558AE302"/>
    <w:lvl w:ilvl="0" w:tplc="43686AF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10E56A8">
      <w:start w:val="1"/>
      <w:numFmt w:val="decimal"/>
      <w:lvlText w:val="%2."/>
      <w:lvlJc w:val="left"/>
      <w:pPr>
        <w:ind w:left="860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2" w:tplc="E56860B4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3" w:tplc="4A80A5F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4" w:tplc="AC50E53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5" w:tplc="7AD00B2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en-US"/>
      </w:rPr>
    </w:lvl>
    <w:lvl w:ilvl="6" w:tplc="3214849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en-US"/>
      </w:rPr>
    </w:lvl>
    <w:lvl w:ilvl="7" w:tplc="9458571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en-US"/>
      </w:rPr>
    </w:lvl>
    <w:lvl w:ilvl="8" w:tplc="FA38C972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1AA010A"/>
    <w:multiLevelType w:val="hybridMultilevel"/>
    <w:tmpl w:val="0650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1584"/>
    <w:multiLevelType w:val="hybridMultilevel"/>
    <w:tmpl w:val="3628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25FE5"/>
    <w:multiLevelType w:val="hybridMultilevel"/>
    <w:tmpl w:val="42AC4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91A78"/>
    <w:multiLevelType w:val="hybridMultilevel"/>
    <w:tmpl w:val="5C50F8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5250E2"/>
    <w:multiLevelType w:val="hybridMultilevel"/>
    <w:tmpl w:val="06089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04BD9"/>
    <w:multiLevelType w:val="hybridMultilevel"/>
    <w:tmpl w:val="09A4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F1566"/>
    <w:multiLevelType w:val="hybridMultilevel"/>
    <w:tmpl w:val="D144A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705E"/>
    <w:multiLevelType w:val="hybridMultilevel"/>
    <w:tmpl w:val="0A8A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A7588"/>
    <w:multiLevelType w:val="hybridMultilevel"/>
    <w:tmpl w:val="BA2833DC"/>
    <w:lvl w:ilvl="0" w:tplc="CD50365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80BA5"/>
    <w:multiLevelType w:val="hybridMultilevel"/>
    <w:tmpl w:val="E0D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E3733"/>
    <w:multiLevelType w:val="hybridMultilevel"/>
    <w:tmpl w:val="C7C6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A4620"/>
    <w:multiLevelType w:val="hybridMultilevel"/>
    <w:tmpl w:val="A31C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36AB1"/>
    <w:multiLevelType w:val="hybridMultilevel"/>
    <w:tmpl w:val="C262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A3B56"/>
    <w:multiLevelType w:val="hybridMultilevel"/>
    <w:tmpl w:val="0A9E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E7D43"/>
    <w:multiLevelType w:val="hybridMultilevel"/>
    <w:tmpl w:val="96A0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25"/>
  </w:num>
  <w:num w:numId="13">
    <w:abstractNumId w:val="4"/>
  </w:num>
  <w:num w:numId="14">
    <w:abstractNumId w:val="17"/>
  </w:num>
  <w:num w:numId="15">
    <w:abstractNumId w:val="10"/>
  </w:num>
  <w:num w:numId="16">
    <w:abstractNumId w:val="23"/>
  </w:num>
  <w:num w:numId="17">
    <w:abstractNumId w:val="24"/>
  </w:num>
  <w:num w:numId="18">
    <w:abstractNumId w:val="19"/>
  </w:num>
  <w:num w:numId="19">
    <w:abstractNumId w:val="9"/>
  </w:num>
  <w:num w:numId="20">
    <w:abstractNumId w:val="5"/>
  </w:num>
  <w:num w:numId="21">
    <w:abstractNumId w:val="7"/>
  </w:num>
  <w:num w:numId="22">
    <w:abstractNumId w:val="22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3"/>
    <w:rsid w:val="00005674"/>
    <w:rsid w:val="00013B0C"/>
    <w:rsid w:val="0001427F"/>
    <w:rsid w:val="000D26AE"/>
    <w:rsid w:val="000E2C11"/>
    <w:rsid w:val="00122189"/>
    <w:rsid w:val="001327D5"/>
    <w:rsid w:val="00145FAC"/>
    <w:rsid w:val="001720F4"/>
    <w:rsid w:val="001E41F3"/>
    <w:rsid w:val="00204D8C"/>
    <w:rsid w:val="0021328C"/>
    <w:rsid w:val="00215901"/>
    <w:rsid w:val="0022580D"/>
    <w:rsid w:val="00273751"/>
    <w:rsid w:val="00296E94"/>
    <w:rsid w:val="002B5523"/>
    <w:rsid w:val="002D5410"/>
    <w:rsid w:val="00300C45"/>
    <w:rsid w:val="00317846"/>
    <w:rsid w:val="00325B3B"/>
    <w:rsid w:val="003574DA"/>
    <w:rsid w:val="00370576"/>
    <w:rsid w:val="003834EB"/>
    <w:rsid w:val="003C67FB"/>
    <w:rsid w:val="004534B4"/>
    <w:rsid w:val="0046161E"/>
    <w:rsid w:val="00490FE8"/>
    <w:rsid w:val="00493E20"/>
    <w:rsid w:val="0049605F"/>
    <w:rsid w:val="004A32D7"/>
    <w:rsid w:val="004A65D4"/>
    <w:rsid w:val="004B5983"/>
    <w:rsid w:val="004D5FE0"/>
    <w:rsid w:val="004E1D08"/>
    <w:rsid w:val="0050286A"/>
    <w:rsid w:val="00542181"/>
    <w:rsid w:val="0055362A"/>
    <w:rsid w:val="0059054D"/>
    <w:rsid w:val="005B1F39"/>
    <w:rsid w:val="005B73FB"/>
    <w:rsid w:val="005E0E0E"/>
    <w:rsid w:val="005F19ED"/>
    <w:rsid w:val="005F5545"/>
    <w:rsid w:val="00650707"/>
    <w:rsid w:val="00661226"/>
    <w:rsid w:val="0066611C"/>
    <w:rsid w:val="006719A3"/>
    <w:rsid w:val="00673345"/>
    <w:rsid w:val="00684FA4"/>
    <w:rsid w:val="006A2CD9"/>
    <w:rsid w:val="006E2207"/>
    <w:rsid w:val="00713173"/>
    <w:rsid w:val="00730D9A"/>
    <w:rsid w:val="00737B21"/>
    <w:rsid w:val="007503ED"/>
    <w:rsid w:val="0076499D"/>
    <w:rsid w:val="00780774"/>
    <w:rsid w:val="007B07DD"/>
    <w:rsid w:val="007D1B06"/>
    <w:rsid w:val="00824D1D"/>
    <w:rsid w:val="008325A8"/>
    <w:rsid w:val="008617AF"/>
    <w:rsid w:val="00862066"/>
    <w:rsid w:val="00865F20"/>
    <w:rsid w:val="00873C1E"/>
    <w:rsid w:val="00873FC6"/>
    <w:rsid w:val="008811CA"/>
    <w:rsid w:val="0088555A"/>
    <w:rsid w:val="008B4459"/>
    <w:rsid w:val="00900783"/>
    <w:rsid w:val="00916687"/>
    <w:rsid w:val="00934593"/>
    <w:rsid w:val="00966231"/>
    <w:rsid w:val="00996DA8"/>
    <w:rsid w:val="009B26BC"/>
    <w:rsid w:val="009B75B9"/>
    <w:rsid w:val="009E6F52"/>
    <w:rsid w:val="00A07B80"/>
    <w:rsid w:val="00A2289B"/>
    <w:rsid w:val="00A31512"/>
    <w:rsid w:val="00A43ED0"/>
    <w:rsid w:val="00AA49C3"/>
    <w:rsid w:val="00AB7D16"/>
    <w:rsid w:val="00B12005"/>
    <w:rsid w:val="00B31955"/>
    <w:rsid w:val="00B76C9A"/>
    <w:rsid w:val="00BB5289"/>
    <w:rsid w:val="00BD6B1E"/>
    <w:rsid w:val="00C02F68"/>
    <w:rsid w:val="00C13A0B"/>
    <w:rsid w:val="00C201DD"/>
    <w:rsid w:val="00C27467"/>
    <w:rsid w:val="00C55FF4"/>
    <w:rsid w:val="00C67BAB"/>
    <w:rsid w:val="00CB0580"/>
    <w:rsid w:val="00CD5F35"/>
    <w:rsid w:val="00D02505"/>
    <w:rsid w:val="00D9401D"/>
    <w:rsid w:val="00D9492B"/>
    <w:rsid w:val="00DB3FD8"/>
    <w:rsid w:val="00DC787C"/>
    <w:rsid w:val="00DD1198"/>
    <w:rsid w:val="00E038B7"/>
    <w:rsid w:val="00E042C3"/>
    <w:rsid w:val="00E81193"/>
    <w:rsid w:val="00E9665B"/>
    <w:rsid w:val="00EE5D93"/>
    <w:rsid w:val="00F221E2"/>
    <w:rsid w:val="00FA0EAD"/>
    <w:rsid w:val="00FD21F3"/>
    <w:rsid w:val="00FF2B9E"/>
    <w:rsid w:val="00FF3A4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C0AF"/>
  <w15:chartTrackingRefBased/>
  <w15:docId w15:val="{8E207DF9-A164-410B-A1E8-67E3ADC4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2C3"/>
    <w:rPr>
      <w:color w:val="0563C1" w:themeColor="hyperlink"/>
      <w:u w:val="single"/>
    </w:rPr>
  </w:style>
  <w:style w:type="table" w:styleId="TableGrid">
    <w:name w:val="Table Grid"/>
    <w:basedOn w:val="TableNormal"/>
    <w:rsid w:val="00E042C3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19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03ED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03ED"/>
    <w:rPr>
      <w:rFonts w:ascii="Arial" w:eastAsia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9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DA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DA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ime.Espinoza@dot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Jaime@DOT</dc:creator>
  <cp:keywords/>
  <dc:description/>
  <cp:lastModifiedBy>Espinoza, Jaime@DOT</cp:lastModifiedBy>
  <cp:revision>2</cp:revision>
  <dcterms:created xsi:type="dcterms:W3CDTF">2021-05-24T18:03:00Z</dcterms:created>
  <dcterms:modified xsi:type="dcterms:W3CDTF">2021-05-24T18:03:00Z</dcterms:modified>
</cp:coreProperties>
</file>